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EA8A8E">
      <w:pPr>
        <w:spacing w:line="85" w:lineRule="exact"/>
      </w:pPr>
    </w:p>
    <w:p w14:paraId="57632818">
      <w:pPr>
        <w:spacing w:line="85" w:lineRule="exact"/>
        <w:sectPr>
          <w:pgSz w:w="11907" w:h="16839"/>
          <w:pgMar w:top="1431" w:right="570" w:bottom="0" w:left="1432" w:header="0" w:footer="0" w:gutter="0"/>
          <w:pgNumType w:fmt="decimal"/>
          <w:cols w:equalWidth="0" w:num="1">
            <w:col w:w="9903"/>
          </w:cols>
        </w:sectPr>
      </w:pPr>
    </w:p>
    <w:p w14:paraId="650132FE">
      <w:pPr>
        <w:pStyle w:val="3"/>
        <w:spacing w:before="162" w:line="12869" w:lineRule="exact"/>
      </w:pPr>
      <w:r>
        <w:rPr>
          <w:position w:val="-257"/>
        </w:rPr>
        <w:pict>
          <v:shape id="_x0000_s1026" o:spid="_x0000_s1026" o:spt="202" type="#_x0000_t202" style="height:643.45pt;width:124.2pt;" fillcolor="#FF0000" filled="t" stroked="f" coordsize="21600,21600">
            <v:path/>
            <v:fill on="t" focussize="0,0"/>
            <v:stroke on="f"/>
            <v:imagedata o:title=""/>
            <o:lock v:ext="edit" aspectratio="f"/>
            <v:textbox inset="0mm,0mm,0mm,0mm" style="layout-flow:vertical-ideographic;">
              <w:txbxContent>
                <w:p w14:paraId="3E9885F4">
                  <w:pPr>
                    <w:spacing w:line="242" w:lineRule="auto"/>
                    <w:rPr>
                      <w:rFonts w:ascii="Arial"/>
                      <w:sz w:val="21"/>
                    </w:rPr>
                  </w:pPr>
                </w:p>
                <w:p w14:paraId="107C804A">
                  <w:pPr>
                    <w:spacing w:line="242" w:lineRule="auto"/>
                    <w:rPr>
                      <w:rFonts w:ascii="Arial"/>
                      <w:sz w:val="21"/>
                    </w:rPr>
                  </w:pPr>
                </w:p>
                <w:p w14:paraId="48CA589D">
                  <w:pPr>
                    <w:spacing w:before="389" w:line="180" w:lineRule="auto"/>
                    <w:ind w:left="878"/>
                    <w:rPr>
                      <w:rFonts w:ascii="微软雅黑" w:hAnsi="微软雅黑" w:eastAsia="微软雅黑" w:cs="微软雅黑"/>
                      <w:sz w:val="88"/>
                      <w:szCs w:val="88"/>
                    </w:rPr>
                  </w:pPr>
                  <w:bookmarkStart w:id="12" w:name="bookmark1"/>
                  <w:bookmarkEnd w:id="12"/>
                  <w:r>
                    <w:rPr>
                      <w:rFonts w:ascii="微软雅黑" w:hAnsi="微软雅黑" w:eastAsia="微软雅黑" w:cs="微软雅黑"/>
                      <w:b/>
                      <w:bCs/>
                      <w:color w:val="FFFFFF"/>
                      <w:spacing w:val="4"/>
                      <w:sz w:val="88"/>
                      <w:szCs w:val="88"/>
                    </w:rPr>
                    <w:t>理</w:t>
                  </w:r>
                  <w:r>
                    <w:rPr>
                      <w:rFonts w:ascii="微软雅黑" w:hAnsi="微软雅黑" w:eastAsia="微软雅黑" w:cs="微软雅黑"/>
                      <w:b/>
                      <w:bCs/>
                      <w:color w:val="FFFFFF"/>
                      <w:spacing w:val="194"/>
                      <w:sz w:val="88"/>
                      <w:szCs w:val="88"/>
                    </w:rPr>
                    <w:t xml:space="preserve"> </w:t>
                  </w:r>
                  <w:r>
                    <w:rPr>
                      <w:rFonts w:ascii="微软雅黑" w:hAnsi="微软雅黑" w:eastAsia="微软雅黑" w:cs="微软雅黑"/>
                      <w:b/>
                      <w:bCs/>
                      <w:color w:val="FFFFFF"/>
                      <w:spacing w:val="4"/>
                      <w:sz w:val="88"/>
                      <w:szCs w:val="88"/>
                    </w:rPr>
                    <w:t>论</w:t>
                  </w:r>
                  <w:r>
                    <w:rPr>
                      <w:rFonts w:ascii="微软雅黑" w:hAnsi="微软雅黑" w:eastAsia="微软雅黑" w:cs="微软雅黑"/>
                      <w:b/>
                      <w:bCs/>
                      <w:color w:val="FFFFFF"/>
                      <w:spacing w:val="147"/>
                      <w:sz w:val="88"/>
                      <w:szCs w:val="88"/>
                    </w:rPr>
                    <w:t xml:space="preserve"> </w:t>
                  </w:r>
                  <w:r>
                    <w:rPr>
                      <w:rFonts w:ascii="微软雅黑" w:hAnsi="微软雅黑" w:eastAsia="微软雅黑" w:cs="微软雅黑"/>
                      <w:b/>
                      <w:bCs/>
                      <w:color w:val="FFFFFF"/>
                      <w:spacing w:val="4"/>
                      <w:sz w:val="88"/>
                      <w:szCs w:val="88"/>
                    </w:rPr>
                    <w:t>中</w:t>
                  </w:r>
                  <w:r>
                    <w:rPr>
                      <w:rFonts w:ascii="微软雅黑" w:hAnsi="微软雅黑" w:eastAsia="微软雅黑" w:cs="微软雅黑"/>
                      <w:b/>
                      <w:bCs/>
                      <w:color w:val="FFFFFF"/>
                      <w:spacing w:val="164"/>
                      <w:sz w:val="88"/>
                      <w:szCs w:val="88"/>
                    </w:rPr>
                    <w:t xml:space="preserve"> </w:t>
                  </w:r>
                  <w:r>
                    <w:rPr>
                      <w:rFonts w:ascii="微软雅黑" w:hAnsi="微软雅黑" w:eastAsia="微软雅黑" w:cs="微软雅黑"/>
                      <w:b/>
                      <w:bCs/>
                      <w:color w:val="FFFFFF"/>
                      <w:spacing w:val="4"/>
                      <w:sz w:val="88"/>
                      <w:szCs w:val="88"/>
                    </w:rPr>
                    <w:t>心</w:t>
                  </w:r>
                  <w:r>
                    <w:rPr>
                      <w:rFonts w:ascii="微软雅黑" w:hAnsi="微软雅黑" w:eastAsia="微软雅黑" w:cs="微软雅黑"/>
                      <w:b/>
                      <w:bCs/>
                      <w:color w:val="FFFFFF"/>
                      <w:spacing w:val="141"/>
                      <w:sz w:val="88"/>
                      <w:szCs w:val="88"/>
                    </w:rPr>
                    <w:t xml:space="preserve"> </w:t>
                  </w:r>
                  <w:r>
                    <w:rPr>
                      <w:rFonts w:ascii="微软雅黑" w:hAnsi="微软雅黑" w:eastAsia="微软雅黑" w:cs="微软雅黑"/>
                      <w:b/>
                      <w:bCs/>
                      <w:color w:val="FFFFFF"/>
                      <w:spacing w:val="4"/>
                      <w:sz w:val="88"/>
                      <w:szCs w:val="88"/>
                    </w:rPr>
                    <w:t>组</w:t>
                  </w:r>
                  <w:r>
                    <w:rPr>
                      <w:rFonts w:ascii="微软雅黑" w:hAnsi="微软雅黑" w:eastAsia="微软雅黑" w:cs="微软雅黑"/>
                      <w:b/>
                      <w:bCs/>
                      <w:color w:val="FFFFFF"/>
                      <w:spacing w:val="160"/>
                      <w:sz w:val="88"/>
                      <w:szCs w:val="88"/>
                    </w:rPr>
                    <w:t xml:space="preserve"> </w:t>
                  </w:r>
                  <w:r>
                    <w:rPr>
                      <w:rFonts w:ascii="微软雅黑" w:hAnsi="微软雅黑" w:eastAsia="微软雅黑" w:cs="微软雅黑"/>
                      <w:b/>
                      <w:bCs/>
                      <w:color w:val="FFFFFF"/>
                      <w:spacing w:val="4"/>
                      <w:sz w:val="88"/>
                      <w:szCs w:val="88"/>
                    </w:rPr>
                    <w:t>学</w:t>
                  </w:r>
                  <w:r>
                    <w:rPr>
                      <w:rFonts w:ascii="微软雅黑" w:hAnsi="微软雅黑" w:eastAsia="微软雅黑" w:cs="微软雅黑"/>
                      <w:b/>
                      <w:bCs/>
                      <w:color w:val="FFFFFF"/>
                      <w:spacing w:val="155"/>
                      <w:sz w:val="88"/>
                      <w:szCs w:val="88"/>
                    </w:rPr>
                    <w:t xml:space="preserve"> </w:t>
                  </w:r>
                  <w:r>
                    <w:rPr>
                      <w:rFonts w:ascii="微软雅黑" w:hAnsi="微软雅黑" w:eastAsia="微软雅黑" w:cs="微软雅黑"/>
                      <w:b/>
                      <w:bCs/>
                      <w:color w:val="FFFFFF"/>
                      <w:spacing w:val="4"/>
                      <w:sz w:val="88"/>
                      <w:szCs w:val="88"/>
                    </w:rPr>
                    <w:t>习</w:t>
                  </w:r>
                  <w:r>
                    <w:rPr>
                      <w:rFonts w:ascii="微软雅黑" w:hAnsi="微软雅黑" w:eastAsia="微软雅黑" w:cs="微软雅黑"/>
                      <w:b/>
                      <w:bCs/>
                      <w:color w:val="FFFFFF"/>
                      <w:spacing w:val="140"/>
                      <w:sz w:val="88"/>
                      <w:szCs w:val="88"/>
                    </w:rPr>
                    <w:t xml:space="preserve"> </w:t>
                  </w:r>
                  <w:r>
                    <w:rPr>
                      <w:rFonts w:ascii="微软雅黑" w:hAnsi="微软雅黑" w:eastAsia="微软雅黑" w:cs="微软雅黑"/>
                      <w:b/>
                      <w:bCs/>
                      <w:color w:val="FFFFFF"/>
                      <w:spacing w:val="4"/>
                      <w:sz w:val="88"/>
                      <w:szCs w:val="88"/>
                    </w:rPr>
                    <w:t>材</w:t>
                  </w:r>
                  <w:r>
                    <w:rPr>
                      <w:rFonts w:ascii="微软雅黑" w:hAnsi="微软雅黑" w:eastAsia="微软雅黑" w:cs="微软雅黑"/>
                      <w:b/>
                      <w:bCs/>
                      <w:color w:val="FFFFFF"/>
                      <w:spacing w:val="149"/>
                      <w:sz w:val="88"/>
                      <w:szCs w:val="88"/>
                    </w:rPr>
                    <w:t xml:space="preserve"> </w:t>
                  </w:r>
                  <w:r>
                    <w:rPr>
                      <w:rFonts w:ascii="微软雅黑" w:hAnsi="微软雅黑" w:eastAsia="微软雅黑" w:cs="微软雅黑"/>
                      <w:b/>
                      <w:bCs/>
                      <w:color w:val="FFFFFF"/>
                      <w:spacing w:val="4"/>
                      <w:sz w:val="88"/>
                      <w:szCs w:val="88"/>
                    </w:rPr>
                    <w:t>料</w:t>
                  </w:r>
                </w:p>
                <w:p w14:paraId="074C7632">
                  <w:pPr>
                    <w:spacing w:before="389" w:line="180" w:lineRule="auto"/>
                    <w:ind w:left="878"/>
                    <w:rPr>
                      <w:rFonts w:ascii="微软雅黑" w:hAnsi="微软雅黑" w:eastAsia="微软雅黑" w:cs="微软雅黑"/>
                      <w:sz w:val="88"/>
                      <w:szCs w:val="88"/>
                    </w:rPr>
                  </w:pPr>
                </w:p>
                <w:p w14:paraId="75B62011">
                  <w:pPr>
                    <w:spacing w:before="388" w:line="177" w:lineRule="auto"/>
                    <w:rPr>
                      <w:rFonts w:ascii="微软雅黑" w:hAnsi="微软雅黑" w:eastAsia="微软雅黑" w:cs="微软雅黑"/>
                      <w:sz w:val="88"/>
                      <w:szCs w:val="88"/>
                    </w:rPr>
                  </w:pPr>
                </w:p>
              </w:txbxContent>
            </v:textbox>
            <w10:wrap type="none"/>
            <w10:anchorlock/>
          </v:shape>
        </w:pict>
      </w:r>
    </w:p>
    <w:p w14:paraId="794522ED">
      <w:pPr>
        <w:spacing w:line="14" w:lineRule="auto"/>
        <w:rPr>
          <w:rFonts w:ascii="Arial"/>
          <w:sz w:val="2"/>
        </w:rPr>
      </w:pPr>
      <w:r>
        <w:rPr>
          <w:rFonts w:ascii="Arial" w:hAnsi="Arial" w:eastAsia="Arial" w:cs="Arial"/>
          <w:sz w:val="2"/>
          <w:szCs w:val="2"/>
        </w:rPr>
        <w:br w:type="column"/>
      </w:r>
    </w:p>
    <w:p w14:paraId="490CE356">
      <w:pPr>
        <w:pStyle w:val="3"/>
        <w:spacing w:before="324" w:line="212" w:lineRule="auto"/>
        <w:ind w:left="1900"/>
        <w:rPr>
          <w:sz w:val="40"/>
          <w:szCs w:val="40"/>
        </w:rPr>
      </w:pPr>
      <w:r>
        <w:rPr>
          <w:spacing w:val="-28"/>
          <w:sz w:val="40"/>
          <w:szCs w:val="40"/>
        </w:rPr>
        <w:t>202</w:t>
      </w:r>
      <w:r>
        <w:rPr>
          <w:rFonts w:hint="eastAsia"/>
          <w:spacing w:val="-28"/>
          <w:sz w:val="40"/>
          <w:szCs w:val="40"/>
          <w:lang w:val="en-US" w:eastAsia="zh-CN"/>
        </w:rPr>
        <w:t>6</w:t>
      </w:r>
      <w:r>
        <w:rPr>
          <w:spacing w:val="-28"/>
          <w:sz w:val="40"/>
          <w:szCs w:val="40"/>
        </w:rPr>
        <w:t xml:space="preserve"> 年</w:t>
      </w:r>
      <w:r>
        <w:rPr>
          <w:rFonts w:hint="eastAsia"/>
          <w:spacing w:val="-28"/>
          <w:sz w:val="40"/>
          <w:szCs w:val="40"/>
          <w:lang w:val="en-US" w:eastAsia="zh-CN"/>
        </w:rPr>
        <w:t xml:space="preserve"> 4 </w:t>
      </w:r>
      <w:r>
        <w:rPr>
          <w:spacing w:val="-28"/>
          <w:sz w:val="40"/>
          <w:szCs w:val="40"/>
        </w:rPr>
        <w:t>月</w:t>
      </w:r>
      <w:r>
        <w:rPr>
          <w:rFonts w:hint="eastAsia"/>
          <w:spacing w:val="-28"/>
          <w:sz w:val="40"/>
          <w:szCs w:val="40"/>
          <w:lang w:val="en-US" w:eastAsia="zh-CN"/>
        </w:rPr>
        <w:t xml:space="preserve"> 8</w:t>
      </w:r>
      <w:r>
        <w:rPr>
          <w:spacing w:val="-28"/>
          <w:sz w:val="40"/>
          <w:szCs w:val="40"/>
        </w:rPr>
        <w:t>日</w:t>
      </w:r>
    </w:p>
    <w:p w14:paraId="780DF913">
      <w:pPr>
        <w:pStyle w:val="3"/>
        <w:spacing w:before="218" w:line="207" w:lineRule="auto"/>
        <w:ind w:left="2203"/>
        <w:rPr>
          <w:sz w:val="28"/>
          <w:szCs w:val="28"/>
        </w:rPr>
      </w:pPr>
      <w:r>
        <w:rPr>
          <w:spacing w:val="-10"/>
          <w:sz w:val="28"/>
          <w:szCs w:val="28"/>
        </w:rPr>
        <w:t>（202</w:t>
      </w:r>
      <w:r>
        <w:rPr>
          <w:rFonts w:hint="eastAsia"/>
          <w:spacing w:val="-10"/>
          <w:sz w:val="28"/>
          <w:szCs w:val="28"/>
          <w:lang w:val="en-US" w:eastAsia="zh-CN"/>
        </w:rPr>
        <w:t>6</w:t>
      </w:r>
      <w:r>
        <w:rPr>
          <w:spacing w:val="-10"/>
          <w:sz w:val="28"/>
          <w:szCs w:val="28"/>
        </w:rPr>
        <w:t xml:space="preserve"> 年</w:t>
      </w:r>
      <w:r>
        <w:rPr>
          <w:rFonts w:hint="eastAsia"/>
          <w:spacing w:val="-10"/>
          <w:sz w:val="28"/>
          <w:szCs w:val="28"/>
          <w:lang w:val="en-US" w:eastAsia="zh-CN"/>
        </w:rPr>
        <w:t xml:space="preserve"> </w:t>
      </w:r>
      <w:r>
        <w:rPr>
          <w:spacing w:val="-10"/>
          <w:sz w:val="28"/>
          <w:szCs w:val="28"/>
        </w:rPr>
        <w:t xml:space="preserve">第 </w:t>
      </w:r>
      <w:r>
        <w:rPr>
          <w:rFonts w:hint="eastAsia"/>
          <w:spacing w:val="-10"/>
          <w:sz w:val="28"/>
          <w:szCs w:val="28"/>
          <w:lang w:val="en-US" w:eastAsia="zh-CN"/>
        </w:rPr>
        <w:t>4</w:t>
      </w:r>
      <w:r>
        <w:rPr>
          <w:spacing w:val="-10"/>
          <w:sz w:val="28"/>
          <w:szCs w:val="28"/>
        </w:rPr>
        <w:t>期）</w:t>
      </w:r>
    </w:p>
    <w:p w14:paraId="59976BA1">
      <w:pPr>
        <w:spacing w:line="259" w:lineRule="auto"/>
        <w:rPr>
          <w:rFonts w:ascii="Arial"/>
          <w:sz w:val="21"/>
        </w:rPr>
      </w:pPr>
    </w:p>
    <w:p w14:paraId="694BE02B">
      <w:pPr>
        <w:spacing w:line="259" w:lineRule="auto"/>
        <w:rPr>
          <w:rFonts w:ascii="Arial"/>
          <w:sz w:val="21"/>
        </w:rPr>
      </w:pPr>
    </w:p>
    <w:p w14:paraId="48093948">
      <w:pPr>
        <w:spacing w:line="259" w:lineRule="auto"/>
        <w:rPr>
          <w:rFonts w:ascii="Arial"/>
          <w:sz w:val="21"/>
        </w:rPr>
      </w:pPr>
    </w:p>
    <w:p w14:paraId="2B5CCD05">
      <w:pPr>
        <w:spacing w:line="259" w:lineRule="auto"/>
        <w:rPr>
          <w:rFonts w:ascii="Arial"/>
          <w:sz w:val="21"/>
        </w:rPr>
      </w:pPr>
    </w:p>
    <w:p w14:paraId="654E6B26">
      <w:pPr>
        <w:spacing w:line="260" w:lineRule="auto"/>
        <w:rPr>
          <w:rFonts w:ascii="Arial"/>
          <w:sz w:val="21"/>
        </w:rPr>
      </w:pPr>
    </w:p>
    <w:p w14:paraId="2364156B">
      <w:pPr>
        <w:spacing w:line="260" w:lineRule="auto"/>
        <w:rPr>
          <w:rFonts w:ascii="Arial"/>
          <w:sz w:val="21"/>
        </w:rPr>
      </w:pPr>
      <w:bookmarkStart w:id="13" w:name="_GoBack"/>
      <w:bookmarkEnd w:id="13"/>
    </w:p>
    <w:sdt>
      <w:sdtPr>
        <w:rPr>
          <w:rFonts w:hint="eastAsia" w:ascii="楷体" w:hAnsi="楷体" w:eastAsia="楷体" w:cs="楷体"/>
          <w:snapToGrid w:val="0"/>
          <w:color w:val="000000"/>
          <w:kern w:val="0"/>
          <w:sz w:val="21"/>
          <w:szCs w:val="21"/>
          <w:lang w:val="en-US" w:eastAsia="en-US" w:bidi="ar-SA"/>
        </w:rPr>
        <w:id w:val="147466167"/>
        <w15:color w:val="DBDBDB"/>
        <w:docPartObj>
          <w:docPartGallery w:val="Table of Contents"/>
          <w:docPartUnique/>
        </w:docPartObj>
      </w:sdtPr>
      <w:sdtEndPr>
        <w:rPr>
          <w:rFonts w:hint="eastAsia" w:ascii="楷体" w:hAnsi="楷体" w:eastAsia="楷体" w:cs="楷体"/>
          <w:snapToGrid w:val="0"/>
          <w:color w:val="000000"/>
          <w:kern w:val="0"/>
          <w:sz w:val="31"/>
          <w:szCs w:val="31"/>
          <w:lang w:val="en-US" w:eastAsia="en-US" w:bidi="ar-SA"/>
        </w:rPr>
      </w:sdtEndPr>
      <w:sdtContent>
        <w:p w14:paraId="1F7B622C">
          <w:pPr>
            <w:spacing w:before="0" w:beforeLines="0" w:after="0" w:afterLines="0" w:line="240" w:lineRule="auto"/>
            <w:ind w:left="0" w:leftChars="0" w:right="0" w:rightChars="0" w:firstLine="0" w:firstLineChars="0"/>
            <w:jc w:val="center"/>
            <w:rPr>
              <w:rFonts w:hint="eastAsia" w:ascii="楷体" w:hAnsi="楷体" w:eastAsia="楷体" w:cs="楷体"/>
              <w:sz w:val="31"/>
              <w:szCs w:val="31"/>
            </w:rPr>
          </w:pPr>
          <w:r>
            <w:rPr>
              <w:rFonts w:hint="eastAsia" w:ascii="楷体" w:hAnsi="楷体" w:eastAsia="楷体" w:cs="楷体"/>
              <w:sz w:val="31"/>
              <w:szCs w:val="31"/>
            </w:rPr>
            <w:t>目</w:t>
          </w:r>
          <w:r>
            <w:rPr>
              <w:rFonts w:hint="eastAsia" w:ascii="楷体" w:hAnsi="楷体" w:eastAsia="楷体" w:cs="楷体"/>
              <w:sz w:val="31"/>
              <w:szCs w:val="31"/>
              <w:lang w:val="en-US" w:eastAsia="zh-CN"/>
            </w:rPr>
            <w:t xml:space="preserve">  </w:t>
          </w:r>
          <w:r>
            <w:rPr>
              <w:rFonts w:hint="eastAsia" w:ascii="楷体" w:hAnsi="楷体" w:eastAsia="楷体" w:cs="楷体"/>
              <w:sz w:val="31"/>
              <w:szCs w:val="31"/>
            </w:rPr>
            <w:t>录</w:t>
          </w:r>
        </w:p>
        <w:p w14:paraId="0218257A">
          <w:pPr>
            <w:spacing w:before="0" w:beforeLines="0" w:after="0" w:afterLines="0" w:line="240" w:lineRule="auto"/>
            <w:ind w:left="0" w:leftChars="0" w:right="0" w:rightChars="0" w:firstLine="0" w:firstLineChars="0"/>
            <w:jc w:val="center"/>
            <w:rPr>
              <w:rFonts w:hint="eastAsia" w:ascii="楷体" w:hAnsi="楷体" w:eastAsia="楷体" w:cs="楷体"/>
              <w:sz w:val="31"/>
              <w:szCs w:val="31"/>
            </w:rPr>
          </w:pPr>
        </w:p>
        <w:p w14:paraId="48EE398C">
          <w:pPr>
            <w:pStyle w:val="6"/>
            <w:keepNext w:val="0"/>
            <w:keepLines w:val="0"/>
            <w:pageBreakBefore w:val="0"/>
            <w:widowControl/>
            <w:tabs>
              <w:tab w:val="right" w:leader="dot" w:pos="6895"/>
            </w:tabs>
            <w:kinsoku w:val="0"/>
            <w:wordWrap/>
            <w:overflowPunct/>
            <w:topLinePunct w:val="0"/>
            <w:autoSpaceDE w:val="0"/>
            <w:autoSpaceDN w:val="0"/>
            <w:bidi w:val="0"/>
            <w:adjustRightInd w:val="0"/>
            <w:snapToGrid w:val="0"/>
            <w:spacing w:line="360" w:lineRule="auto"/>
            <w:textAlignment w:val="baseline"/>
            <w:rPr>
              <w:rFonts w:hint="eastAsia" w:ascii="楷体" w:hAnsi="楷体" w:eastAsia="楷体" w:cs="楷体"/>
              <w:sz w:val="31"/>
              <w:szCs w:val="31"/>
            </w:rPr>
          </w:pPr>
          <w:r>
            <w:rPr>
              <w:rFonts w:hint="eastAsia" w:ascii="楷体" w:hAnsi="楷体" w:eastAsia="楷体" w:cs="楷体"/>
              <w:sz w:val="31"/>
              <w:szCs w:val="31"/>
              <w:lang w:val="en-US" w:eastAsia="zh-CN"/>
            </w:rPr>
            <w:t>1.</w:t>
          </w:r>
          <w:r>
            <w:rPr>
              <w:rFonts w:hint="eastAsia" w:ascii="楷体" w:hAnsi="楷体" w:eastAsia="楷体" w:cs="楷体"/>
              <w:sz w:val="31"/>
              <w:szCs w:val="31"/>
            </w:rPr>
            <w:fldChar w:fldCharType="begin"/>
          </w:r>
          <w:r>
            <w:rPr>
              <w:rFonts w:hint="eastAsia" w:ascii="楷体" w:hAnsi="楷体" w:eastAsia="楷体" w:cs="楷体"/>
              <w:sz w:val="31"/>
              <w:szCs w:val="31"/>
            </w:rPr>
            <w:instrText xml:space="preserve">TOC \o "1-3" \h \u </w:instrText>
          </w:r>
          <w:r>
            <w:rPr>
              <w:rFonts w:hint="eastAsia" w:ascii="楷体" w:hAnsi="楷体" w:eastAsia="楷体" w:cs="楷体"/>
              <w:sz w:val="31"/>
              <w:szCs w:val="31"/>
            </w:rPr>
            <w:fldChar w:fldCharType="separate"/>
          </w:r>
          <w:r>
            <w:rPr>
              <w:rFonts w:hint="eastAsia" w:ascii="楷体" w:hAnsi="楷体" w:eastAsia="楷体" w:cs="楷体"/>
              <w:sz w:val="31"/>
              <w:szCs w:val="31"/>
            </w:rPr>
            <w:fldChar w:fldCharType="begin"/>
          </w:r>
          <w:r>
            <w:rPr>
              <w:rFonts w:hint="eastAsia" w:ascii="楷体" w:hAnsi="楷体" w:eastAsia="楷体" w:cs="楷体"/>
              <w:sz w:val="31"/>
              <w:szCs w:val="31"/>
            </w:rPr>
            <w:instrText xml:space="preserve"> HYPERLINK \l _Toc816 </w:instrText>
          </w:r>
          <w:r>
            <w:rPr>
              <w:rFonts w:hint="eastAsia" w:ascii="楷体" w:hAnsi="楷体" w:eastAsia="楷体" w:cs="楷体"/>
              <w:sz w:val="31"/>
              <w:szCs w:val="31"/>
            </w:rPr>
            <w:fldChar w:fldCharType="separate"/>
          </w:r>
          <w:r>
            <w:rPr>
              <w:rFonts w:hint="eastAsia" w:ascii="楷体" w:hAnsi="楷体" w:eastAsia="楷体" w:cs="楷体"/>
              <w:sz w:val="31"/>
              <w:szCs w:val="31"/>
            </w:rPr>
            <w:t>习近平总书记在雄安新区考察时的重要讲话</w:t>
          </w:r>
          <w:r>
            <w:rPr>
              <w:rFonts w:hint="eastAsia" w:ascii="楷体" w:hAnsi="楷体" w:eastAsia="楷体" w:cs="楷体"/>
              <w:sz w:val="31"/>
              <w:szCs w:val="31"/>
            </w:rPr>
            <w:tab/>
          </w:r>
          <w:r>
            <w:rPr>
              <w:rFonts w:hint="eastAsia" w:ascii="楷体" w:hAnsi="楷体" w:eastAsia="楷体" w:cs="楷体"/>
              <w:sz w:val="31"/>
              <w:szCs w:val="31"/>
            </w:rPr>
            <w:fldChar w:fldCharType="begin"/>
          </w:r>
          <w:r>
            <w:rPr>
              <w:rFonts w:hint="eastAsia" w:ascii="楷体" w:hAnsi="楷体" w:eastAsia="楷体" w:cs="楷体"/>
              <w:sz w:val="31"/>
              <w:szCs w:val="31"/>
            </w:rPr>
            <w:instrText xml:space="preserve"> PAGEREF _Toc816 \h </w:instrText>
          </w:r>
          <w:r>
            <w:rPr>
              <w:rFonts w:hint="eastAsia" w:ascii="楷体" w:hAnsi="楷体" w:eastAsia="楷体" w:cs="楷体"/>
              <w:sz w:val="31"/>
              <w:szCs w:val="31"/>
            </w:rPr>
            <w:fldChar w:fldCharType="separate"/>
          </w:r>
          <w:r>
            <w:rPr>
              <w:rFonts w:hint="eastAsia" w:ascii="楷体" w:hAnsi="楷体" w:eastAsia="楷体" w:cs="楷体"/>
              <w:sz w:val="31"/>
              <w:szCs w:val="31"/>
            </w:rPr>
            <w:t>1</w:t>
          </w:r>
          <w:r>
            <w:rPr>
              <w:rFonts w:hint="eastAsia" w:ascii="楷体" w:hAnsi="楷体" w:eastAsia="楷体" w:cs="楷体"/>
              <w:sz w:val="31"/>
              <w:szCs w:val="31"/>
            </w:rPr>
            <w:fldChar w:fldCharType="end"/>
          </w:r>
          <w:r>
            <w:rPr>
              <w:rFonts w:hint="eastAsia" w:ascii="楷体" w:hAnsi="楷体" w:eastAsia="楷体" w:cs="楷体"/>
              <w:sz w:val="31"/>
              <w:szCs w:val="31"/>
            </w:rPr>
            <w:fldChar w:fldCharType="end"/>
          </w:r>
        </w:p>
        <w:p w14:paraId="1AC753E5">
          <w:pPr>
            <w:pStyle w:val="6"/>
            <w:keepNext w:val="0"/>
            <w:keepLines w:val="0"/>
            <w:pageBreakBefore w:val="0"/>
            <w:widowControl/>
            <w:tabs>
              <w:tab w:val="right" w:leader="dot" w:pos="6895"/>
            </w:tabs>
            <w:kinsoku w:val="0"/>
            <w:wordWrap/>
            <w:overflowPunct/>
            <w:topLinePunct w:val="0"/>
            <w:autoSpaceDE w:val="0"/>
            <w:autoSpaceDN w:val="0"/>
            <w:bidi w:val="0"/>
            <w:adjustRightInd w:val="0"/>
            <w:snapToGrid w:val="0"/>
            <w:spacing w:line="360" w:lineRule="auto"/>
            <w:textAlignment w:val="baseline"/>
            <w:rPr>
              <w:rFonts w:hint="eastAsia" w:ascii="楷体" w:hAnsi="楷体" w:eastAsia="楷体" w:cs="楷体"/>
              <w:sz w:val="31"/>
              <w:szCs w:val="31"/>
            </w:rPr>
          </w:pPr>
          <w:r>
            <w:rPr>
              <w:rFonts w:hint="eastAsia" w:ascii="楷体" w:hAnsi="楷体" w:eastAsia="楷体" w:cs="楷体"/>
              <w:sz w:val="31"/>
              <w:szCs w:val="31"/>
              <w:lang w:val="en-US" w:eastAsia="zh-CN"/>
            </w:rPr>
            <w:t>2.</w:t>
          </w:r>
          <w:r>
            <w:rPr>
              <w:rFonts w:hint="eastAsia" w:ascii="楷体" w:hAnsi="楷体" w:eastAsia="楷体" w:cs="楷体"/>
              <w:sz w:val="31"/>
              <w:szCs w:val="31"/>
            </w:rPr>
            <w:fldChar w:fldCharType="begin"/>
          </w:r>
          <w:r>
            <w:rPr>
              <w:rFonts w:hint="eastAsia" w:ascii="楷体" w:hAnsi="楷体" w:eastAsia="楷体" w:cs="楷体"/>
              <w:sz w:val="31"/>
              <w:szCs w:val="31"/>
            </w:rPr>
            <w:instrText xml:space="preserve"> HYPERLINK \l _Toc12610 </w:instrText>
          </w:r>
          <w:r>
            <w:rPr>
              <w:rFonts w:hint="eastAsia" w:ascii="楷体" w:hAnsi="楷体" w:eastAsia="楷体" w:cs="楷体"/>
              <w:sz w:val="31"/>
              <w:szCs w:val="31"/>
            </w:rPr>
            <w:fldChar w:fldCharType="separate"/>
          </w:r>
          <w:r>
            <w:rPr>
              <w:rFonts w:hint="eastAsia" w:ascii="楷体" w:hAnsi="楷体" w:eastAsia="楷体" w:cs="楷体"/>
              <w:sz w:val="31"/>
              <w:szCs w:val="31"/>
            </w:rPr>
            <w:t>习近平在参加首都义务植树活动时强调</w:t>
          </w:r>
          <w:r>
            <w:rPr>
              <w:rFonts w:hint="eastAsia" w:ascii="楷体" w:hAnsi="楷体" w:eastAsia="楷体" w:cs="楷体"/>
              <w:sz w:val="31"/>
              <w:szCs w:val="31"/>
              <w:lang w:eastAsia="zh-CN"/>
            </w:rPr>
            <w:t>：</w:t>
          </w:r>
          <w:r>
            <w:rPr>
              <w:rFonts w:hint="eastAsia" w:ascii="楷体" w:hAnsi="楷体" w:eastAsia="楷体" w:cs="楷体"/>
              <w:sz w:val="31"/>
              <w:szCs w:val="31"/>
            </w:rPr>
            <w:fldChar w:fldCharType="end"/>
          </w:r>
          <w:r>
            <w:rPr>
              <w:rFonts w:hint="eastAsia" w:ascii="楷体" w:hAnsi="楷体" w:eastAsia="楷体" w:cs="楷体"/>
              <w:sz w:val="31"/>
              <w:szCs w:val="31"/>
            </w:rPr>
            <w:fldChar w:fldCharType="begin"/>
          </w:r>
          <w:r>
            <w:rPr>
              <w:rFonts w:hint="eastAsia" w:ascii="楷体" w:hAnsi="楷体" w:eastAsia="楷体" w:cs="楷体"/>
              <w:sz w:val="31"/>
              <w:szCs w:val="31"/>
            </w:rPr>
            <w:instrText xml:space="preserve"> HYPERLINK \l _Toc17514 </w:instrText>
          </w:r>
          <w:r>
            <w:rPr>
              <w:rFonts w:hint="eastAsia" w:ascii="楷体" w:hAnsi="楷体" w:eastAsia="楷体" w:cs="楷体"/>
              <w:sz w:val="31"/>
              <w:szCs w:val="31"/>
            </w:rPr>
            <w:fldChar w:fldCharType="separate"/>
          </w:r>
          <w:r>
            <w:rPr>
              <w:rFonts w:hint="eastAsia" w:ascii="楷体" w:hAnsi="楷体" w:eastAsia="楷体" w:cs="楷体"/>
              <w:sz w:val="31"/>
              <w:szCs w:val="31"/>
            </w:rPr>
            <w:t>为山川大地增添锦绣</w:t>
          </w:r>
          <w:r>
            <w:rPr>
              <w:rFonts w:hint="eastAsia" w:ascii="楷体" w:hAnsi="楷体" w:eastAsia="楷体" w:cs="楷体"/>
              <w:sz w:val="31"/>
              <w:szCs w:val="31"/>
              <w:lang w:val="en-US" w:eastAsia="zh-CN"/>
            </w:rPr>
            <w:t xml:space="preserve">  </w:t>
          </w:r>
          <w:r>
            <w:rPr>
              <w:rFonts w:hint="eastAsia" w:ascii="楷体" w:hAnsi="楷体" w:eastAsia="楷体" w:cs="楷体"/>
              <w:sz w:val="31"/>
              <w:szCs w:val="31"/>
            </w:rPr>
            <w:t>让中国式现代化底色更加亮丽</w:t>
          </w:r>
          <w:r>
            <w:rPr>
              <w:rFonts w:hint="eastAsia" w:ascii="楷体" w:hAnsi="楷体" w:eastAsia="楷体" w:cs="楷体"/>
              <w:sz w:val="31"/>
              <w:szCs w:val="31"/>
            </w:rPr>
            <w:tab/>
          </w:r>
          <w:r>
            <w:rPr>
              <w:rFonts w:hint="eastAsia" w:ascii="楷体" w:hAnsi="楷体" w:eastAsia="楷体" w:cs="楷体"/>
              <w:sz w:val="31"/>
              <w:szCs w:val="31"/>
            </w:rPr>
            <w:fldChar w:fldCharType="begin"/>
          </w:r>
          <w:r>
            <w:rPr>
              <w:rFonts w:hint="eastAsia" w:ascii="楷体" w:hAnsi="楷体" w:eastAsia="楷体" w:cs="楷体"/>
              <w:sz w:val="31"/>
              <w:szCs w:val="31"/>
            </w:rPr>
            <w:instrText xml:space="preserve"> PAGEREF _Toc17514 \h </w:instrText>
          </w:r>
          <w:r>
            <w:rPr>
              <w:rFonts w:hint="eastAsia" w:ascii="楷体" w:hAnsi="楷体" w:eastAsia="楷体" w:cs="楷体"/>
              <w:sz w:val="31"/>
              <w:szCs w:val="31"/>
            </w:rPr>
            <w:fldChar w:fldCharType="separate"/>
          </w:r>
          <w:r>
            <w:rPr>
              <w:rFonts w:hint="eastAsia" w:ascii="楷体" w:hAnsi="楷体" w:eastAsia="楷体" w:cs="楷体"/>
              <w:sz w:val="31"/>
              <w:szCs w:val="31"/>
            </w:rPr>
            <w:t>5</w:t>
          </w:r>
          <w:r>
            <w:rPr>
              <w:rFonts w:hint="eastAsia" w:ascii="楷体" w:hAnsi="楷体" w:eastAsia="楷体" w:cs="楷体"/>
              <w:sz w:val="31"/>
              <w:szCs w:val="31"/>
            </w:rPr>
            <w:fldChar w:fldCharType="end"/>
          </w:r>
          <w:r>
            <w:rPr>
              <w:rFonts w:hint="eastAsia" w:ascii="楷体" w:hAnsi="楷体" w:eastAsia="楷体" w:cs="楷体"/>
              <w:sz w:val="31"/>
              <w:szCs w:val="31"/>
            </w:rPr>
            <w:fldChar w:fldCharType="end"/>
          </w:r>
        </w:p>
        <w:p w14:paraId="16F9ED46">
          <w:pPr>
            <w:pStyle w:val="6"/>
            <w:keepNext w:val="0"/>
            <w:keepLines w:val="0"/>
            <w:pageBreakBefore w:val="0"/>
            <w:widowControl/>
            <w:tabs>
              <w:tab w:val="right" w:leader="dot" w:pos="6895"/>
            </w:tabs>
            <w:kinsoku w:val="0"/>
            <w:wordWrap/>
            <w:overflowPunct/>
            <w:topLinePunct w:val="0"/>
            <w:autoSpaceDE w:val="0"/>
            <w:autoSpaceDN w:val="0"/>
            <w:bidi w:val="0"/>
            <w:adjustRightInd w:val="0"/>
            <w:snapToGrid w:val="0"/>
            <w:spacing w:line="360" w:lineRule="auto"/>
            <w:textAlignment w:val="baseline"/>
            <w:rPr>
              <w:rFonts w:hint="eastAsia" w:ascii="楷体" w:hAnsi="楷体" w:eastAsia="楷体" w:cs="楷体"/>
              <w:sz w:val="31"/>
              <w:szCs w:val="31"/>
            </w:rPr>
          </w:pPr>
          <w:r>
            <w:rPr>
              <w:rFonts w:hint="eastAsia" w:ascii="楷体" w:hAnsi="楷体" w:eastAsia="楷体" w:cs="楷体"/>
              <w:sz w:val="31"/>
              <w:szCs w:val="31"/>
              <w:lang w:val="en-US" w:eastAsia="zh-CN"/>
            </w:rPr>
            <w:t>3.</w:t>
          </w:r>
          <w:r>
            <w:rPr>
              <w:rFonts w:hint="eastAsia" w:ascii="楷体" w:hAnsi="楷体" w:eastAsia="楷体" w:cs="楷体"/>
              <w:sz w:val="31"/>
              <w:szCs w:val="31"/>
            </w:rPr>
            <w:fldChar w:fldCharType="begin"/>
          </w:r>
          <w:r>
            <w:rPr>
              <w:rFonts w:hint="eastAsia" w:ascii="楷体" w:hAnsi="楷体" w:eastAsia="楷体" w:cs="楷体"/>
              <w:sz w:val="31"/>
              <w:szCs w:val="31"/>
            </w:rPr>
            <w:instrText xml:space="preserve"> HYPERLINK \l _Toc4692 </w:instrText>
          </w:r>
          <w:r>
            <w:rPr>
              <w:rFonts w:hint="eastAsia" w:ascii="楷体" w:hAnsi="楷体" w:eastAsia="楷体" w:cs="楷体"/>
              <w:sz w:val="31"/>
              <w:szCs w:val="31"/>
            </w:rPr>
            <w:fldChar w:fldCharType="separate"/>
          </w:r>
          <w:r>
            <w:rPr>
              <w:rFonts w:hint="eastAsia" w:ascii="楷体" w:hAnsi="楷体" w:eastAsia="楷体" w:cs="楷体"/>
              <w:bCs/>
              <w:i w:val="0"/>
              <w:iCs w:val="0"/>
              <w:caps w:val="0"/>
              <w:spacing w:val="0"/>
              <w:sz w:val="31"/>
              <w:szCs w:val="31"/>
              <w:shd w:val="clear" w:fill="FFFFFF"/>
            </w:rPr>
            <w:t>《求是》杂志发表习近平总书记重要文章 《树立和践行正确政绩观》</w:t>
          </w:r>
          <w:r>
            <w:rPr>
              <w:rFonts w:hint="eastAsia" w:ascii="楷体" w:hAnsi="楷体" w:eastAsia="楷体" w:cs="楷体"/>
              <w:sz w:val="31"/>
              <w:szCs w:val="31"/>
            </w:rPr>
            <w:tab/>
          </w:r>
          <w:r>
            <w:rPr>
              <w:rFonts w:hint="eastAsia" w:ascii="楷体" w:hAnsi="楷体" w:eastAsia="楷体" w:cs="楷体"/>
              <w:sz w:val="31"/>
              <w:szCs w:val="31"/>
              <w:lang w:val="en-US" w:eastAsia="zh-CN"/>
            </w:rPr>
            <w:t>7</w:t>
          </w:r>
          <w:r>
            <w:rPr>
              <w:rFonts w:hint="eastAsia" w:ascii="楷体" w:hAnsi="楷体" w:eastAsia="楷体" w:cs="楷体"/>
              <w:sz w:val="31"/>
              <w:szCs w:val="31"/>
            </w:rPr>
            <w:fldChar w:fldCharType="end"/>
          </w:r>
        </w:p>
        <w:p w14:paraId="0F49FBFB">
          <w:pPr>
            <w:pStyle w:val="6"/>
            <w:keepNext w:val="0"/>
            <w:keepLines w:val="0"/>
            <w:pageBreakBefore w:val="0"/>
            <w:widowControl/>
            <w:tabs>
              <w:tab w:val="right" w:leader="dot" w:pos="6895"/>
            </w:tabs>
            <w:kinsoku w:val="0"/>
            <w:wordWrap/>
            <w:overflowPunct/>
            <w:topLinePunct w:val="0"/>
            <w:autoSpaceDE w:val="0"/>
            <w:autoSpaceDN w:val="0"/>
            <w:bidi w:val="0"/>
            <w:adjustRightInd w:val="0"/>
            <w:snapToGrid w:val="0"/>
            <w:spacing w:line="360" w:lineRule="auto"/>
            <w:textAlignment w:val="baseline"/>
            <w:rPr>
              <w:rFonts w:hint="eastAsia" w:ascii="楷体" w:hAnsi="楷体" w:eastAsia="楷体" w:cs="楷体"/>
              <w:sz w:val="31"/>
              <w:szCs w:val="31"/>
              <w:lang w:val="en-US" w:eastAsia="zh-CN"/>
            </w:rPr>
          </w:pPr>
          <w:r>
            <w:rPr>
              <w:rFonts w:hint="eastAsia" w:ascii="楷体" w:hAnsi="楷体" w:eastAsia="楷体" w:cs="楷体"/>
              <w:sz w:val="31"/>
              <w:szCs w:val="31"/>
              <w:lang w:val="en-US" w:eastAsia="zh-CN"/>
            </w:rPr>
            <w:t>4.</w:t>
          </w:r>
          <w:r>
            <w:rPr>
              <w:rFonts w:hint="eastAsia" w:ascii="楷体" w:hAnsi="楷体" w:eastAsia="楷体" w:cs="楷体"/>
              <w:sz w:val="31"/>
              <w:szCs w:val="31"/>
            </w:rPr>
            <w:fldChar w:fldCharType="begin"/>
          </w:r>
          <w:r>
            <w:rPr>
              <w:rFonts w:hint="eastAsia" w:ascii="楷体" w:hAnsi="楷体" w:eastAsia="楷体" w:cs="楷体"/>
              <w:sz w:val="31"/>
              <w:szCs w:val="31"/>
            </w:rPr>
            <w:instrText xml:space="preserve"> HYPERLINK \l _Toc2478 </w:instrText>
          </w:r>
          <w:r>
            <w:rPr>
              <w:rFonts w:hint="eastAsia" w:ascii="楷体" w:hAnsi="楷体" w:eastAsia="楷体" w:cs="楷体"/>
              <w:sz w:val="31"/>
              <w:szCs w:val="31"/>
            </w:rPr>
            <w:fldChar w:fldCharType="separate"/>
          </w:r>
          <w:r>
            <w:rPr>
              <w:rFonts w:hint="eastAsia" w:ascii="楷体" w:hAnsi="楷体" w:eastAsia="楷体" w:cs="楷体"/>
              <w:sz w:val="31"/>
              <w:szCs w:val="31"/>
            </w:rPr>
            <w:t>中共中央政治局召开会议</w:t>
          </w:r>
          <w:r>
            <w:rPr>
              <w:rFonts w:hint="eastAsia" w:ascii="楷体" w:hAnsi="楷体" w:eastAsia="楷体" w:cs="楷体"/>
              <w:sz w:val="31"/>
              <w:szCs w:val="31"/>
            </w:rPr>
            <w:fldChar w:fldCharType="end"/>
          </w:r>
          <w:r>
            <w:rPr>
              <w:rFonts w:hint="eastAsia" w:ascii="楷体" w:hAnsi="楷体" w:eastAsia="楷体" w:cs="楷体"/>
              <w:sz w:val="31"/>
              <w:szCs w:val="31"/>
              <w:lang w:val="en-US" w:eastAsia="zh-CN"/>
            </w:rPr>
            <w:t xml:space="preserve">  </w:t>
          </w:r>
          <w:r>
            <w:rPr>
              <w:rFonts w:hint="eastAsia" w:ascii="楷体" w:hAnsi="楷体" w:eastAsia="楷体" w:cs="楷体"/>
              <w:sz w:val="31"/>
              <w:szCs w:val="31"/>
            </w:rPr>
            <w:fldChar w:fldCharType="begin"/>
          </w:r>
          <w:r>
            <w:rPr>
              <w:rFonts w:hint="eastAsia" w:ascii="楷体" w:hAnsi="楷体" w:eastAsia="楷体" w:cs="楷体"/>
              <w:sz w:val="31"/>
              <w:szCs w:val="31"/>
            </w:rPr>
            <w:instrText xml:space="preserve"> HYPERLINK \l _Toc24539 </w:instrText>
          </w:r>
          <w:r>
            <w:rPr>
              <w:rFonts w:hint="eastAsia" w:ascii="楷体" w:hAnsi="楷体" w:eastAsia="楷体" w:cs="楷体"/>
              <w:sz w:val="31"/>
              <w:szCs w:val="31"/>
            </w:rPr>
            <w:fldChar w:fldCharType="separate"/>
          </w:r>
          <w:r>
            <w:rPr>
              <w:rFonts w:hint="eastAsia" w:ascii="楷体" w:hAnsi="楷体" w:eastAsia="楷体" w:cs="楷体"/>
              <w:sz w:val="31"/>
              <w:szCs w:val="31"/>
            </w:rPr>
            <w:t>中共中央总书记习近平主持会议</w:t>
          </w:r>
          <w:r>
            <w:rPr>
              <w:rFonts w:hint="eastAsia" w:ascii="楷体" w:hAnsi="楷体" w:eastAsia="楷体" w:cs="楷体"/>
              <w:sz w:val="31"/>
              <w:szCs w:val="31"/>
            </w:rPr>
            <w:tab/>
          </w:r>
          <w:r>
            <w:rPr>
              <w:rFonts w:hint="eastAsia" w:ascii="楷体" w:hAnsi="楷体" w:eastAsia="楷体" w:cs="楷体"/>
              <w:sz w:val="31"/>
              <w:szCs w:val="31"/>
              <w:lang w:val="en-US" w:eastAsia="zh-CN"/>
            </w:rPr>
            <w:t>1</w:t>
          </w:r>
          <w:r>
            <w:rPr>
              <w:rFonts w:hint="eastAsia" w:ascii="楷体" w:hAnsi="楷体" w:eastAsia="楷体" w:cs="楷体"/>
              <w:sz w:val="31"/>
              <w:szCs w:val="31"/>
            </w:rPr>
            <w:fldChar w:fldCharType="end"/>
          </w:r>
          <w:r>
            <w:rPr>
              <w:rFonts w:hint="eastAsia" w:ascii="楷体" w:hAnsi="楷体" w:eastAsia="楷体" w:cs="楷体"/>
              <w:sz w:val="31"/>
              <w:szCs w:val="31"/>
              <w:lang w:val="en-US" w:eastAsia="zh-CN"/>
            </w:rPr>
            <w:t>0</w:t>
          </w:r>
        </w:p>
        <w:p w14:paraId="2014EF87">
          <w:pPr>
            <w:pStyle w:val="6"/>
            <w:keepNext w:val="0"/>
            <w:keepLines w:val="0"/>
            <w:pageBreakBefore w:val="0"/>
            <w:widowControl/>
            <w:tabs>
              <w:tab w:val="right" w:leader="dot" w:pos="6895"/>
            </w:tabs>
            <w:kinsoku w:val="0"/>
            <w:wordWrap/>
            <w:overflowPunct/>
            <w:topLinePunct w:val="0"/>
            <w:autoSpaceDE w:val="0"/>
            <w:autoSpaceDN w:val="0"/>
            <w:bidi w:val="0"/>
            <w:adjustRightInd w:val="0"/>
            <w:snapToGrid w:val="0"/>
            <w:spacing w:line="360" w:lineRule="auto"/>
            <w:textAlignment w:val="baseline"/>
            <w:rPr>
              <w:rFonts w:hint="eastAsia" w:ascii="楷体" w:hAnsi="楷体" w:eastAsia="楷体" w:cs="楷体"/>
              <w:sz w:val="31"/>
              <w:szCs w:val="31"/>
              <w:lang w:val="en-US" w:eastAsia="zh-CN"/>
            </w:rPr>
          </w:pPr>
          <w:r>
            <w:rPr>
              <w:rFonts w:hint="eastAsia" w:ascii="楷体" w:hAnsi="楷体" w:eastAsia="楷体" w:cs="楷体"/>
              <w:sz w:val="31"/>
              <w:szCs w:val="31"/>
              <w:lang w:val="en-US" w:eastAsia="zh-CN"/>
            </w:rPr>
            <w:t>5.</w:t>
          </w:r>
          <w:r>
            <w:rPr>
              <w:rFonts w:hint="eastAsia" w:ascii="楷体" w:hAnsi="楷体" w:eastAsia="楷体" w:cs="楷体"/>
              <w:sz w:val="31"/>
              <w:szCs w:val="31"/>
            </w:rPr>
            <w:fldChar w:fldCharType="begin"/>
          </w:r>
          <w:r>
            <w:rPr>
              <w:rFonts w:hint="eastAsia" w:ascii="楷体" w:hAnsi="楷体" w:eastAsia="楷体" w:cs="楷体"/>
              <w:sz w:val="31"/>
              <w:szCs w:val="31"/>
            </w:rPr>
            <w:instrText xml:space="preserve"> HYPERLINK \l _Toc4948 </w:instrText>
          </w:r>
          <w:r>
            <w:rPr>
              <w:rFonts w:hint="eastAsia" w:ascii="楷体" w:hAnsi="楷体" w:eastAsia="楷体" w:cs="楷体"/>
              <w:sz w:val="31"/>
              <w:szCs w:val="31"/>
            </w:rPr>
            <w:fldChar w:fldCharType="separate"/>
          </w:r>
          <w:r>
            <w:rPr>
              <w:rFonts w:hint="eastAsia" w:ascii="楷体" w:hAnsi="楷体" w:eastAsia="楷体" w:cs="楷体"/>
              <w:sz w:val="31"/>
              <w:szCs w:val="31"/>
              <w:lang w:val="en-US" w:eastAsia="zh-CN"/>
            </w:rPr>
            <w:t>习近平：推动海洋经济高质量发展</w:t>
          </w:r>
          <w:r>
            <w:rPr>
              <w:rFonts w:hint="eastAsia" w:ascii="楷体" w:hAnsi="楷体" w:eastAsia="楷体" w:cs="楷体"/>
              <w:sz w:val="31"/>
              <w:szCs w:val="31"/>
            </w:rPr>
            <w:tab/>
          </w:r>
          <w:r>
            <w:rPr>
              <w:rFonts w:hint="eastAsia" w:ascii="楷体" w:hAnsi="楷体" w:eastAsia="楷体" w:cs="楷体"/>
              <w:sz w:val="31"/>
              <w:szCs w:val="31"/>
              <w:lang w:val="en-US" w:eastAsia="zh-CN"/>
            </w:rPr>
            <w:t>1</w:t>
          </w:r>
          <w:r>
            <w:rPr>
              <w:rFonts w:hint="eastAsia" w:ascii="楷体" w:hAnsi="楷体" w:eastAsia="楷体" w:cs="楷体"/>
              <w:sz w:val="31"/>
              <w:szCs w:val="31"/>
            </w:rPr>
            <w:fldChar w:fldCharType="end"/>
          </w:r>
          <w:r>
            <w:rPr>
              <w:rFonts w:hint="eastAsia" w:ascii="楷体" w:hAnsi="楷体" w:eastAsia="楷体" w:cs="楷体"/>
              <w:sz w:val="31"/>
              <w:szCs w:val="31"/>
              <w:lang w:val="en-US" w:eastAsia="zh-CN"/>
            </w:rPr>
            <w:t>2</w:t>
          </w:r>
        </w:p>
        <w:p w14:paraId="7B91081C">
          <w:pPr>
            <w:pStyle w:val="6"/>
            <w:keepNext w:val="0"/>
            <w:keepLines w:val="0"/>
            <w:pageBreakBefore w:val="0"/>
            <w:widowControl/>
            <w:tabs>
              <w:tab w:val="right" w:leader="dot" w:pos="6895"/>
            </w:tabs>
            <w:kinsoku w:val="0"/>
            <w:wordWrap/>
            <w:overflowPunct/>
            <w:topLinePunct w:val="0"/>
            <w:autoSpaceDE w:val="0"/>
            <w:autoSpaceDN w:val="0"/>
            <w:bidi w:val="0"/>
            <w:adjustRightInd w:val="0"/>
            <w:snapToGrid w:val="0"/>
            <w:spacing w:line="360" w:lineRule="auto"/>
            <w:textAlignment w:val="baseline"/>
            <w:rPr>
              <w:rFonts w:hint="eastAsia" w:ascii="楷体" w:hAnsi="楷体" w:eastAsia="楷体" w:cs="楷体"/>
              <w:sz w:val="31"/>
              <w:szCs w:val="31"/>
              <w:lang w:val="en-US" w:eastAsia="zh-CN"/>
            </w:rPr>
          </w:pPr>
          <w:r>
            <w:rPr>
              <w:rFonts w:hint="eastAsia" w:ascii="楷体" w:hAnsi="楷体" w:eastAsia="楷体" w:cs="楷体"/>
              <w:sz w:val="31"/>
              <w:szCs w:val="31"/>
              <w:lang w:val="en-US" w:eastAsia="zh-CN"/>
            </w:rPr>
            <w:t>6.</w:t>
          </w:r>
          <w:r>
            <w:rPr>
              <w:rFonts w:hint="eastAsia" w:ascii="楷体" w:hAnsi="楷体" w:eastAsia="楷体" w:cs="楷体"/>
              <w:sz w:val="31"/>
              <w:szCs w:val="31"/>
            </w:rPr>
            <w:fldChar w:fldCharType="begin"/>
          </w:r>
          <w:r>
            <w:rPr>
              <w:rFonts w:hint="eastAsia" w:ascii="楷体" w:hAnsi="楷体" w:eastAsia="楷体" w:cs="楷体"/>
              <w:sz w:val="31"/>
              <w:szCs w:val="31"/>
            </w:rPr>
            <w:instrText xml:space="preserve"> HYPERLINK \l _Toc22235 </w:instrText>
          </w:r>
          <w:r>
            <w:rPr>
              <w:rFonts w:hint="eastAsia" w:ascii="楷体" w:hAnsi="楷体" w:eastAsia="楷体" w:cs="楷体"/>
              <w:sz w:val="31"/>
              <w:szCs w:val="31"/>
            </w:rPr>
            <w:fldChar w:fldCharType="separate"/>
          </w:r>
          <w:r>
            <w:rPr>
              <w:rFonts w:hint="eastAsia" w:ascii="楷体" w:hAnsi="楷体" w:eastAsia="楷体" w:cs="楷体"/>
              <w:sz w:val="31"/>
              <w:szCs w:val="31"/>
            </w:rPr>
            <w:t>习近平向世界数据组织成立致贺信</w:t>
          </w:r>
          <w:r>
            <w:rPr>
              <w:rFonts w:hint="eastAsia" w:ascii="楷体" w:hAnsi="楷体" w:eastAsia="楷体" w:cs="楷体"/>
              <w:sz w:val="31"/>
              <w:szCs w:val="31"/>
            </w:rPr>
            <w:tab/>
          </w:r>
          <w:r>
            <w:rPr>
              <w:rFonts w:hint="eastAsia" w:ascii="楷体" w:hAnsi="楷体" w:eastAsia="楷体" w:cs="楷体"/>
              <w:sz w:val="31"/>
              <w:szCs w:val="31"/>
              <w:lang w:val="en-US" w:eastAsia="zh-CN"/>
            </w:rPr>
            <w:t>1</w:t>
          </w:r>
          <w:r>
            <w:rPr>
              <w:rFonts w:hint="eastAsia" w:ascii="楷体" w:hAnsi="楷体" w:eastAsia="楷体" w:cs="楷体"/>
              <w:sz w:val="31"/>
              <w:szCs w:val="31"/>
            </w:rPr>
            <w:fldChar w:fldCharType="end"/>
          </w:r>
          <w:r>
            <w:rPr>
              <w:rFonts w:hint="eastAsia" w:ascii="楷体" w:hAnsi="楷体" w:eastAsia="楷体" w:cs="楷体"/>
              <w:sz w:val="31"/>
              <w:szCs w:val="31"/>
              <w:lang w:val="en-US" w:eastAsia="zh-CN"/>
            </w:rPr>
            <w:t>5</w:t>
          </w:r>
        </w:p>
        <w:p w14:paraId="70B1A728">
          <w:pPr>
            <w:pStyle w:val="6"/>
            <w:keepNext w:val="0"/>
            <w:keepLines w:val="0"/>
            <w:pageBreakBefore w:val="0"/>
            <w:widowControl/>
            <w:tabs>
              <w:tab w:val="right" w:leader="dot" w:pos="6895"/>
            </w:tabs>
            <w:kinsoku w:val="0"/>
            <w:wordWrap/>
            <w:overflowPunct/>
            <w:topLinePunct w:val="0"/>
            <w:autoSpaceDE w:val="0"/>
            <w:autoSpaceDN w:val="0"/>
            <w:bidi w:val="0"/>
            <w:adjustRightInd w:val="0"/>
            <w:snapToGrid w:val="0"/>
            <w:spacing w:line="360" w:lineRule="auto"/>
            <w:textAlignment w:val="baseline"/>
            <w:rPr>
              <w:rFonts w:hint="eastAsia" w:ascii="楷体" w:hAnsi="楷体" w:eastAsia="楷体" w:cs="楷体"/>
              <w:sz w:val="31"/>
              <w:szCs w:val="31"/>
              <w:lang w:val="en-US" w:eastAsia="zh-CN"/>
            </w:rPr>
          </w:pPr>
          <w:r>
            <w:rPr>
              <w:rFonts w:hint="eastAsia" w:ascii="楷体" w:hAnsi="楷体" w:eastAsia="楷体" w:cs="楷体"/>
              <w:sz w:val="31"/>
              <w:szCs w:val="31"/>
              <w:lang w:val="en-US" w:eastAsia="zh-CN"/>
            </w:rPr>
            <w:t>7.</w:t>
          </w:r>
          <w:r>
            <w:rPr>
              <w:rFonts w:hint="eastAsia" w:ascii="楷体" w:hAnsi="楷体" w:eastAsia="楷体" w:cs="楷体"/>
              <w:sz w:val="31"/>
              <w:szCs w:val="31"/>
            </w:rPr>
            <w:fldChar w:fldCharType="begin"/>
          </w:r>
          <w:r>
            <w:rPr>
              <w:rFonts w:hint="eastAsia" w:ascii="楷体" w:hAnsi="楷体" w:eastAsia="楷体" w:cs="楷体"/>
              <w:sz w:val="31"/>
              <w:szCs w:val="31"/>
            </w:rPr>
            <w:instrText xml:space="preserve"> HYPERLINK \l _Toc12961 </w:instrText>
          </w:r>
          <w:r>
            <w:rPr>
              <w:rFonts w:hint="eastAsia" w:ascii="楷体" w:hAnsi="楷体" w:eastAsia="楷体" w:cs="楷体"/>
              <w:sz w:val="31"/>
              <w:szCs w:val="31"/>
            </w:rPr>
            <w:fldChar w:fldCharType="separate"/>
          </w:r>
          <w:r>
            <w:rPr>
              <w:rFonts w:hint="eastAsia" w:ascii="楷体" w:hAnsi="楷体" w:eastAsia="楷体" w:cs="楷体"/>
              <w:sz w:val="31"/>
              <w:szCs w:val="31"/>
            </w:rPr>
            <w:t>习近平会见土库曼斯坦民族领袖、人民委员会主席 别尔德穆哈梅多夫</w:t>
          </w:r>
          <w:r>
            <w:rPr>
              <w:rFonts w:hint="eastAsia" w:ascii="楷体" w:hAnsi="楷体" w:eastAsia="楷体" w:cs="楷体"/>
              <w:sz w:val="31"/>
              <w:szCs w:val="31"/>
            </w:rPr>
            <w:tab/>
          </w:r>
          <w:r>
            <w:rPr>
              <w:rFonts w:hint="eastAsia" w:ascii="楷体" w:hAnsi="楷体" w:eastAsia="楷体" w:cs="楷体"/>
              <w:sz w:val="31"/>
              <w:szCs w:val="31"/>
              <w:lang w:val="en-US" w:eastAsia="zh-CN"/>
            </w:rPr>
            <w:t>1</w:t>
          </w:r>
          <w:r>
            <w:rPr>
              <w:rFonts w:hint="eastAsia" w:ascii="楷体" w:hAnsi="楷体" w:eastAsia="楷体" w:cs="楷体"/>
              <w:sz w:val="31"/>
              <w:szCs w:val="31"/>
            </w:rPr>
            <w:fldChar w:fldCharType="end"/>
          </w:r>
          <w:r>
            <w:rPr>
              <w:rFonts w:hint="eastAsia" w:ascii="楷体" w:hAnsi="楷体" w:eastAsia="楷体" w:cs="楷体"/>
              <w:sz w:val="31"/>
              <w:szCs w:val="31"/>
              <w:lang w:val="en-US" w:eastAsia="zh-CN"/>
            </w:rPr>
            <w:t>6</w:t>
          </w:r>
        </w:p>
        <w:p w14:paraId="1BDCF272">
          <w:pPr>
            <w:pStyle w:val="6"/>
            <w:keepNext w:val="0"/>
            <w:keepLines w:val="0"/>
            <w:pageBreakBefore w:val="0"/>
            <w:widowControl/>
            <w:tabs>
              <w:tab w:val="right" w:leader="dot" w:pos="6895"/>
            </w:tabs>
            <w:kinsoku w:val="0"/>
            <w:wordWrap/>
            <w:overflowPunct/>
            <w:topLinePunct w:val="0"/>
            <w:autoSpaceDE w:val="0"/>
            <w:autoSpaceDN w:val="0"/>
            <w:bidi w:val="0"/>
            <w:adjustRightInd w:val="0"/>
            <w:snapToGrid w:val="0"/>
            <w:spacing w:line="360" w:lineRule="auto"/>
            <w:textAlignment w:val="baseline"/>
            <w:rPr>
              <w:rFonts w:hint="eastAsia" w:ascii="楷体" w:hAnsi="楷体" w:eastAsia="楷体" w:cs="楷体"/>
              <w:snapToGrid w:val="0"/>
              <w:color w:val="000000"/>
              <w:kern w:val="0"/>
              <w:sz w:val="31"/>
              <w:szCs w:val="31"/>
              <w:lang w:val="en-US" w:eastAsia="en-US" w:bidi="ar-SA"/>
            </w:rPr>
          </w:pPr>
          <w:r>
            <w:rPr>
              <w:rFonts w:hint="eastAsia" w:ascii="楷体" w:hAnsi="楷体" w:eastAsia="楷体" w:cs="楷体"/>
              <w:sz w:val="31"/>
              <w:szCs w:val="31"/>
            </w:rPr>
            <w:fldChar w:fldCharType="end"/>
          </w:r>
        </w:p>
      </w:sdtContent>
    </w:sdt>
    <w:p w14:paraId="4F3DCEE5">
      <w:pPr>
        <w:spacing w:line="210" w:lineRule="auto"/>
        <w:rPr>
          <w:rFonts w:ascii="华文楷体" w:hAnsi="华文楷体" w:eastAsia="华文楷体" w:cs="华文楷体"/>
          <w:snapToGrid w:val="0"/>
          <w:color w:val="000000"/>
          <w:kern w:val="0"/>
          <w:sz w:val="21"/>
          <w:szCs w:val="31"/>
          <w:lang w:val="en-US" w:eastAsia="en-US" w:bidi="ar-SA"/>
        </w:rPr>
        <w:sectPr>
          <w:type w:val="continuous"/>
          <w:pgSz w:w="11907" w:h="16839"/>
          <w:pgMar w:top="1431" w:right="570" w:bottom="0" w:left="1432" w:header="0" w:footer="0" w:gutter="0"/>
          <w:pgNumType w:fmt="decimal"/>
          <w:cols w:equalWidth="0" w:num="2">
            <w:col w:w="2909" w:space="100"/>
            <w:col w:w="6895"/>
          </w:cols>
        </w:sectPr>
      </w:pPr>
      <w:r>
        <w:rPr>
          <w:rFonts w:hint="eastAsia" w:ascii="楷体" w:hAnsi="楷体" w:eastAsia="楷体" w:cs="楷体"/>
          <w:sz w:val="31"/>
          <w:szCs w:val="31"/>
        </w:rPr>
        <w:tab/>
      </w:r>
    </w:p>
    <w:p w14:paraId="006C7DF4">
      <w:pPr>
        <w:pStyle w:val="2"/>
        <w:bidi w:val="0"/>
        <w:rPr>
          <w:rFonts w:hint="eastAsia" w:ascii="仿宋" w:hAnsi="仿宋" w:eastAsia="仿宋" w:cs="仿宋"/>
          <w:b w:val="0"/>
          <w:bCs w:val="0"/>
          <w:color w:val="262626"/>
          <w:spacing w:val="17"/>
          <w:sz w:val="31"/>
          <w:szCs w:val="31"/>
        </w:rPr>
      </w:pPr>
      <w:bookmarkStart w:id="0" w:name="bookmark5"/>
      <w:bookmarkEnd w:id="0"/>
      <w:bookmarkStart w:id="1" w:name="bookmark17"/>
      <w:bookmarkEnd w:id="1"/>
      <w:bookmarkStart w:id="2" w:name="bookmark19"/>
      <w:bookmarkEnd w:id="2"/>
      <w:bookmarkStart w:id="3" w:name="_Toc816"/>
      <w:r>
        <w:rPr>
          <w:rFonts w:hint="eastAsia"/>
        </w:rPr>
        <w:t>习近平总书记在雄安新区考察时的重要讲话</w:t>
      </w:r>
      <w:bookmarkEnd w:id="3"/>
    </w:p>
    <w:p w14:paraId="6376AE0B">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90"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bCs/>
          <w:color w:val="262626"/>
          <w:spacing w:val="17"/>
          <w:sz w:val="31"/>
          <w:szCs w:val="31"/>
          <w:lang w:val="en-US" w:eastAsia="zh-CN"/>
        </w:rPr>
        <w:t>新华社河北雄安新区3月23日电</w:t>
      </w:r>
      <w:r>
        <w:rPr>
          <w:rFonts w:hint="eastAsia" w:ascii="仿宋" w:hAnsi="仿宋" w:eastAsia="仿宋" w:cs="仿宋"/>
          <w:b w:val="0"/>
          <w:bCs w:val="0"/>
          <w:color w:val="262626"/>
          <w:spacing w:val="17"/>
          <w:sz w:val="31"/>
          <w:szCs w:val="31"/>
          <w:lang w:val="en-US" w:eastAsia="zh-CN"/>
        </w:rPr>
        <w:t xml:space="preserve">  中共中央总书记、国家主席、中央军委主席习近平23日在河北雄安新区考察，主持召开深入推进雄安新区高质量建设和发展座谈会并发表重要讲话。他强调，要牢牢把握雄安新区作为北京非首都功能疏解集中承载地的首要功能定位，保持战略定力和历史耐心，进一步解放思想、开拓思路、加强协调、凝聚合力，以改革创新为引领增强内生发展动力，以要素资源合理集聚为重点激发新区活力，努力建设新时代创新高地和推动高质量发展样板。</w:t>
      </w:r>
    </w:p>
    <w:p w14:paraId="32E2CC22">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lang w:val="en-US" w:eastAsia="zh-CN"/>
        </w:rPr>
        <w:t>中共中央政治局常委、国务院总理李强，中共中央政治局常委、中央办公厅主任蔡奇，中共中央政治局常委、国务院副总理丁薛祥陪同考察并出席座谈会。</w:t>
      </w:r>
    </w:p>
    <w:p w14:paraId="2467A221">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lang w:val="en-US" w:eastAsia="zh-CN"/>
        </w:rPr>
        <w:t>23日上午，习近平抵达雄安新区后，在河北省委书记倪岳峰、省长王正谱陪同下，乘车沿途察看启动区建设进展。看到新区建设有序推进，呈现生机勃勃的景象，他给予肯定。</w:t>
      </w:r>
    </w:p>
    <w:p w14:paraId="355BC71B">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lang w:val="en-US" w:eastAsia="zh-CN"/>
        </w:rPr>
        <w:t>随后，习近平来到中国华能集团有限公司考察。2025年10月，华能集团总部及相关子公司1000多名员工迁驻雄安新区。习近平走进企业运营监控与应急指挥中心，听取企业搬迁、产业布局、创新发展等情况介绍，察看企业实时运营数据和远程图像。他强调，要以迁入雄安新区为契机，激发企业干部职工创新创业的积极性主动性，为加快建设新型能源体系、建设能源强国作出新贡献。</w:t>
      </w:r>
    </w:p>
    <w:p w14:paraId="16A62FB8">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在公司一层大厅，习近平同雄安新区入驻和在建疏解单位干部职工代表亲切交流，询问大家的工作生活情况，肯定大家为新区建设发展付出的努力，希望他们扎根新区沃土，积极奉献聪明才智。他说，大家要为做雄安人感到自豪，一马当先、蹄疾步稳地干事创业，共同创造雄安美好未来。</w:t>
      </w:r>
    </w:p>
    <w:p w14:paraId="592D2131">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北京市援建的北京四中雄安校区2023年8月投入使用，现有学生380多人。教学楼里，学生们正在上课。习近平走进初一（2）班教室，同师生交谈，了解教学情况。他希望把北京四中办学的好经验好做法带过来，用心用情呵护孩子们身心健康，促进孩子们全面发展。</w:t>
      </w:r>
    </w:p>
    <w:p w14:paraId="7EA2A7EF">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rPr>
        <w:t>在学校食堂，习近平察看就餐环境、菜品种类等，叮嘱一定要确保学生饮食的安全和营养。离开学校时，师生们一齐向总书记问好，习近平勉励孩子们惜福奋进、积极向上，与雄安新区一起成长，与中国式现代化同步发展。</w:t>
      </w:r>
    </w:p>
    <w:p w14:paraId="22E95F8D">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lang w:val="en-US" w:eastAsia="zh-CN"/>
        </w:rPr>
        <w:t>23日下午，习近平主持召开深入推进雄安新区高质量建设和发展座谈会。国家发展改革委主任郑栅洁、河北省委书记倪岳峰、雄安新区党工委书记张国华先后发言。北京市、天津市、中央和国家机关有关部门负责同志提交了书面发言。</w:t>
      </w:r>
    </w:p>
    <w:p w14:paraId="6F85B6CD">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lang w:val="en-US" w:eastAsia="zh-CN"/>
        </w:rPr>
        <w:t>听取大家发言后，习近平发表重要讲话。他强调，在党中央坚强领导下，经过各方共同努力，雄安新区建设和发展取得重大阶段性成果。实践充分证明，党中央关于建设雄安新区的决策是完全正确的，各方面工作是扎实有效的。</w:t>
      </w:r>
    </w:p>
    <w:p w14:paraId="54C3CBAC">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lang w:val="en-US" w:eastAsia="zh-CN"/>
        </w:rPr>
        <w:t>习近平指出，深入推进雄安新区高质量建设和发展，必须坚持新区功能定位，更加有力有序推进北京非首都功能疏解和承接。要积极稳妥分批推进央企、高校、医院疏解项目建设，有序推进金融机构、科研院所、事业单位疏解，支持疏解单位更好发展。要强化对疏解项目、人员的政策保障和服务，引导支持疏解项目辐射带动新区及周边区域发展。</w:t>
      </w:r>
    </w:p>
    <w:p w14:paraId="59A0340B">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lang w:val="en-US" w:eastAsia="zh-CN"/>
        </w:rPr>
        <w:t>习近平强调，持续提升雄安新区综合承载能力，必须系统谋划，一体抓好高质量建设和高效能治理。要科学把握节奏和时序，集中力量推进启动区、起步区等建设，努力创造“雄安质量”。要坚持党建引领新区治理，完善公共服务体系，着力保障和改善民生，积极探索面向未来的智慧城市管理模式，建设天蓝、地绿、水清的美丽雄安。</w:t>
      </w:r>
    </w:p>
    <w:p w14:paraId="68EBE01B">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lang w:val="en-US" w:eastAsia="zh-CN"/>
        </w:rPr>
        <w:t>习近平指出，雄安新区要以改革创新为动力，推动科技创新与产业创新深度融合，因地制宜发展新质生产力，培育符合新区实际的现代化产业体系。要高水平建设雄安中关村科技园，推动更多科创成果转化落地。推动新兴产业和未来产业集群式发展，积极发展生产性服务业，支持传统产业改造升级。要大胆探索、先行先试，推动科技、金融等领域创新政策率先落地，着力打造市场化法治化国际化营商环境。</w:t>
      </w:r>
    </w:p>
    <w:p w14:paraId="32B5CEE8">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lang w:val="en-US" w:eastAsia="zh-CN"/>
        </w:rPr>
        <w:t>习近平强调，要加强党的领导和党的建设，牢固树立、深入践行正确政绩观，营造风清气正的政治生态。各有关方面要增强大局意识、责任意识，以实际行动落实好党中央决策部署，支持雄安新区高质量建设和发展。雄安新区广大干部要勇于担当，扑下身子抓落实，努力向党和人民交出合格答卷。</w:t>
      </w:r>
    </w:p>
    <w:p w14:paraId="6374294B">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lang w:val="en-US" w:eastAsia="zh-CN"/>
        </w:rPr>
        <w:t>李强在讲话中表示，要认真学习贯彻习近平总书记重要讲话精神，既保持“千年大计”的战略定力，又以只争朝夕的干劲，深入推进雄安新区高质量建设和发展。要在承接北京非首都功能疏解上力求新进展，增强疏解动力和承接引力。要在丰富城市内涵、提升城市功能上力求新突破，加快完善公共服务，营造一流产业生态，打造新时代创新高地。要在促进京津冀协同发展上力求新作为，集成各方优势，加强改革探索，发挥区域引领带动作用。</w:t>
      </w:r>
    </w:p>
    <w:p w14:paraId="2BCEB5E1">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rPr>
      </w:pPr>
      <w:r>
        <w:rPr>
          <w:rFonts w:hint="eastAsia" w:ascii="仿宋" w:hAnsi="仿宋" w:eastAsia="仿宋" w:cs="仿宋"/>
          <w:b w:val="0"/>
          <w:bCs w:val="0"/>
          <w:color w:val="262626"/>
          <w:spacing w:val="17"/>
          <w:sz w:val="31"/>
          <w:szCs w:val="31"/>
          <w:lang w:val="en-US" w:eastAsia="zh-CN"/>
        </w:rPr>
        <w:t>丁薛祥在讲话中表示，要深入学习贯彻习近平总书记重要讲话精神，抓住机遇、乘势而上，推动雄安新区全面落实创新驱动发展战略，深度融入区域协同创新网络，积极打造北京（京津冀）国际科技创新中心的重要支点；发挥高等院校、科研院所汇集优势，促进产学研融通创新，高水平推进教育科技人才一体发展；精心培育一流创新生态，加快发展新兴产业和未来产业，推进雄安新区高质量建设和发展迈上新台阶。</w:t>
      </w:r>
    </w:p>
    <w:p w14:paraId="43C3DA0F">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lang w:val="en-US" w:eastAsia="zh-CN"/>
        </w:rPr>
      </w:pPr>
      <w:r>
        <w:rPr>
          <w:rFonts w:hint="eastAsia" w:ascii="仿宋" w:hAnsi="仿宋" w:eastAsia="仿宋" w:cs="仿宋"/>
          <w:b w:val="0"/>
          <w:bCs w:val="0"/>
          <w:color w:val="262626"/>
          <w:spacing w:val="17"/>
          <w:sz w:val="31"/>
          <w:szCs w:val="31"/>
          <w:lang w:val="en-US" w:eastAsia="zh-CN"/>
        </w:rPr>
        <w:t>何立峰等陪同考察并参加座谈会，尹力、陈敏尔、吴政隆及中央和国家机关有关部门、军队有关单位、北京市、天津市、河北省、雄安新区、有关企业负责同志等参加座谈会。</w:t>
      </w:r>
    </w:p>
    <w:p w14:paraId="63237E38">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lang w:val="en-US" w:eastAsia="zh-CN"/>
        </w:rPr>
      </w:pPr>
    </w:p>
    <w:p w14:paraId="6AC50636">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lang w:val="en-US" w:eastAsia="zh-CN"/>
        </w:rPr>
      </w:pPr>
    </w:p>
    <w:p w14:paraId="7FED12E5">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lang w:val="en-US" w:eastAsia="zh-CN"/>
        </w:rPr>
      </w:pPr>
    </w:p>
    <w:p w14:paraId="7F5A7E3F">
      <w:pPr>
        <w:pStyle w:val="2"/>
        <w:bidi w:val="0"/>
        <w:rPr>
          <w:rFonts w:hint="eastAsia"/>
          <w:lang w:val="en-US" w:eastAsia="zh-CN"/>
        </w:rPr>
      </w:pPr>
      <w:bookmarkStart w:id="4" w:name="_Toc12610"/>
      <w:r>
        <w:t>习近平在参加首都义务植树活动时强调</w:t>
      </w:r>
      <w:bookmarkEnd w:id="4"/>
      <w:r>
        <w:t xml:space="preserve"> </w:t>
      </w:r>
      <w:r>
        <w:rPr>
          <w:rFonts w:hint="eastAsia"/>
          <w:lang w:val="en-US" w:eastAsia="zh-CN"/>
        </w:rPr>
        <w:t xml:space="preserve"> </w:t>
      </w:r>
    </w:p>
    <w:p w14:paraId="08505344">
      <w:pPr>
        <w:pStyle w:val="2"/>
        <w:bidi w:val="0"/>
        <w:rPr>
          <w:rFonts w:hint="eastAsia"/>
        </w:rPr>
      </w:pPr>
      <w:bookmarkStart w:id="5" w:name="_Toc17514"/>
      <w:r>
        <w:t>为山川大地增添锦绣</w:t>
      </w:r>
      <w:r>
        <w:rPr>
          <w:rFonts w:hint="eastAsia"/>
          <w:lang w:val="en-US" w:eastAsia="zh-CN"/>
        </w:rPr>
        <w:t xml:space="preserve">  </w:t>
      </w:r>
      <w:r>
        <w:rPr>
          <w:rFonts w:hint="eastAsia"/>
        </w:rPr>
        <w:t>让中国式现代化底色更加亮丽</w:t>
      </w:r>
      <w:bookmarkEnd w:id="5"/>
    </w:p>
    <w:p w14:paraId="4EA71F60">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lang w:val="en-US" w:eastAsia="zh-CN"/>
        </w:rPr>
      </w:pPr>
      <w:r>
        <w:rPr>
          <w:rFonts w:hint="eastAsia" w:ascii="仿宋" w:hAnsi="仿宋" w:eastAsia="仿宋" w:cs="仿宋"/>
          <w:b w:val="0"/>
          <w:bCs w:val="0"/>
          <w:color w:val="262626"/>
          <w:spacing w:val="17"/>
          <w:sz w:val="31"/>
          <w:szCs w:val="31"/>
          <w:lang w:val="en-US" w:eastAsia="zh-CN"/>
        </w:rPr>
        <w:t>新华社北京3月30日电 中共中央总书记、国家主席、中央军委主席习近平30日上午在参加首都义务植树活动时强调，良好生态人人共享，也需要合力共建。要组织动员全社会广泛参与植树造林，为山川大地增添锦绣，让中国式现代化的底色更加亮丽。</w:t>
      </w:r>
    </w:p>
    <w:p w14:paraId="75E836D1">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lang w:val="en-US" w:eastAsia="zh-CN"/>
        </w:rPr>
      </w:pPr>
      <w:r>
        <w:rPr>
          <w:rFonts w:hint="eastAsia" w:ascii="仿宋" w:hAnsi="仿宋" w:eastAsia="仿宋" w:cs="仿宋"/>
          <w:b w:val="0"/>
          <w:bCs w:val="0"/>
          <w:color w:val="262626"/>
          <w:spacing w:val="17"/>
          <w:sz w:val="31"/>
          <w:szCs w:val="31"/>
          <w:lang w:val="en-US" w:eastAsia="zh-CN"/>
        </w:rPr>
        <w:t>首都北京春风和煦、万物生发。上午10时40分许，党和国家领导人习近平、李强、赵乐际、王沪宁、蔡奇、丁薛祥、李希等集体乘车，来到昌平区百善镇，同干部群众一起参加义务植树。</w:t>
      </w:r>
    </w:p>
    <w:p w14:paraId="54B8E2CF">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lang w:val="en-US" w:eastAsia="zh-CN"/>
        </w:rPr>
      </w:pPr>
      <w:r>
        <w:rPr>
          <w:rFonts w:hint="eastAsia" w:ascii="仿宋" w:hAnsi="仿宋" w:eastAsia="仿宋" w:cs="仿宋"/>
          <w:b w:val="0"/>
          <w:bCs w:val="0"/>
          <w:color w:val="262626"/>
          <w:spacing w:val="17"/>
          <w:sz w:val="31"/>
          <w:szCs w:val="31"/>
          <w:lang w:val="en-US" w:eastAsia="zh-CN"/>
        </w:rPr>
        <w:t>植树点为规划公园用地，公园建成后将为群众提供生态休闲空间。</w:t>
      </w:r>
    </w:p>
    <w:p w14:paraId="206F0F6E">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lang w:val="en-US" w:eastAsia="zh-CN"/>
        </w:rPr>
      </w:pPr>
      <w:r>
        <w:rPr>
          <w:rFonts w:hint="eastAsia" w:ascii="仿宋" w:hAnsi="仿宋" w:eastAsia="仿宋" w:cs="仿宋"/>
          <w:b w:val="0"/>
          <w:bCs w:val="0"/>
          <w:color w:val="262626"/>
          <w:spacing w:val="17"/>
          <w:sz w:val="31"/>
          <w:szCs w:val="31"/>
          <w:lang w:val="en-US" w:eastAsia="zh-CN"/>
        </w:rPr>
        <w:t>看到总书记来了，正在植树的干部群众纷纷热情地向总书记问好。习近平向大家挥手致意，拿起铁锹走向植树现场，同在场的北京市、国家林草局负责同志和干部群众、少先队员一起忙碌起来。</w:t>
      </w:r>
    </w:p>
    <w:p w14:paraId="0C415284">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lang w:val="en-US" w:eastAsia="zh-CN"/>
        </w:rPr>
      </w:pPr>
      <w:r>
        <w:rPr>
          <w:rFonts w:hint="eastAsia" w:ascii="仿宋" w:hAnsi="仿宋" w:eastAsia="仿宋" w:cs="仿宋"/>
          <w:b w:val="0"/>
          <w:bCs w:val="0"/>
          <w:color w:val="262626"/>
          <w:spacing w:val="17"/>
          <w:sz w:val="31"/>
          <w:szCs w:val="31"/>
          <w:lang w:val="en-US" w:eastAsia="zh-CN"/>
        </w:rPr>
        <w:t>挥锹铲土、培土围堰、提水浇灌……习近平接连种下油松、北京牡丹、榆叶梅、杜仲、元宝枫等多棵树苗。他一边植树，一边询问孩子们的学习生活、劳动锻炼和参加植树情况。习近平强调，青少年像小树苗一样充满活力和希望，要从小树立远大志向，爱知识、爱劳动、爱自然，德智体美劳全面发展，努力成长为栋梁之材。现场气氛热烈，一派繁忙景象。</w:t>
      </w:r>
    </w:p>
    <w:p w14:paraId="58CB291C">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lang w:val="en-US" w:eastAsia="zh-CN"/>
        </w:rPr>
      </w:pPr>
      <w:r>
        <w:rPr>
          <w:rFonts w:hint="eastAsia" w:ascii="仿宋" w:hAnsi="仿宋" w:eastAsia="仿宋" w:cs="仿宋"/>
          <w:b w:val="0"/>
          <w:bCs w:val="0"/>
          <w:color w:val="262626"/>
          <w:spacing w:val="17"/>
          <w:sz w:val="31"/>
          <w:szCs w:val="31"/>
          <w:lang w:val="en-US" w:eastAsia="zh-CN"/>
        </w:rPr>
        <w:t>习近平同在场的干部群众亲切交谈。他说，党的十八大以来，我国森林面积和蓄积量持续“双增长”，荒漠化和沙化土地面积持续“双缩减”，是全球增绿最多最快的国家，天蓝地绿水清已经成为常态。前不久，我国颁布生态环境法典，进一步筑牢了美丽中国建设的法治基石。植树造林是美丽中国建设的一项重要任务，要咬定青山不放松，立足当下、着眼长远、接力奋进，把这件利国利民的大事扎实做好。</w:t>
      </w:r>
    </w:p>
    <w:p w14:paraId="22AFD05F">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lang w:val="en-US" w:eastAsia="zh-CN"/>
        </w:rPr>
      </w:pPr>
      <w:r>
        <w:rPr>
          <w:rFonts w:hint="eastAsia" w:ascii="仿宋" w:hAnsi="仿宋" w:eastAsia="仿宋" w:cs="仿宋"/>
          <w:b w:val="0"/>
          <w:bCs w:val="0"/>
          <w:color w:val="262626"/>
          <w:spacing w:val="17"/>
          <w:sz w:val="31"/>
          <w:szCs w:val="31"/>
          <w:lang w:val="en-US" w:eastAsia="zh-CN"/>
        </w:rPr>
        <w:t>习近平强调，今年是“十五五”开局之年，也是全民义务植树运动开展45周年。新形势下推进国土绿化，要更加注重提质、兴业、利民，实现种与管共抓、生态与产业共促、人与自然共生。要统筹利用绿化空间，以地定绿、以水定绿，因地制宜做好增绿文章，宜树则树，宜草则草。要下更大气力加强管护，分区分类开展森林可持续经营，有力有效推进草原保护修复，全面提升林草质量和功能，防火防虫护好绿化成果。要畅通生态产品价值转化渠道，壮大林草产业，同步提升经济价值和生态效益。要协同推进城乡绿化美化，见缝插针增加群众身边的绿地，让城乡居民有更多的绿色获得感。</w:t>
      </w:r>
    </w:p>
    <w:p w14:paraId="5773D384">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lang w:val="en-US" w:eastAsia="zh-CN"/>
        </w:rPr>
      </w:pPr>
      <w:r>
        <w:rPr>
          <w:rFonts w:hint="eastAsia" w:ascii="仿宋" w:hAnsi="仿宋" w:eastAsia="仿宋" w:cs="仿宋"/>
          <w:b w:val="0"/>
          <w:bCs w:val="0"/>
          <w:color w:val="262626"/>
          <w:spacing w:val="17"/>
          <w:sz w:val="31"/>
          <w:szCs w:val="31"/>
          <w:lang w:val="en-US" w:eastAsia="zh-CN"/>
        </w:rPr>
        <w:t>在京中共中央政治局委员、中央书记处书记、国务委员等参加植树活动。</w:t>
      </w:r>
    </w:p>
    <w:p w14:paraId="1CCE1D74">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lang w:val="en-US" w:eastAsia="zh-CN"/>
        </w:rPr>
      </w:pPr>
    </w:p>
    <w:p w14:paraId="7824EDBE">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688" w:firstLineChars="200"/>
        <w:jc w:val="both"/>
        <w:textAlignment w:val="baseline"/>
        <w:rPr>
          <w:rFonts w:hint="eastAsia" w:ascii="仿宋" w:hAnsi="仿宋" w:eastAsia="仿宋" w:cs="仿宋"/>
          <w:b w:val="0"/>
          <w:bCs w:val="0"/>
          <w:color w:val="262626"/>
          <w:spacing w:val="17"/>
          <w:sz w:val="31"/>
          <w:szCs w:val="31"/>
          <w:lang w:val="en-US" w:eastAsia="zh-CN"/>
        </w:rPr>
      </w:pPr>
    </w:p>
    <w:p w14:paraId="46C4FF74">
      <w:pPr>
        <w:pStyle w:val="2"/>
        <w:bidi w:val="0"/>
        <w:rPr>
          <w:rFonts w:hint="eastAsia" w:ascii="微软雅黑" w:hAnsi="微软雅黑" w:eastAsia="微软雅黑" w:cs="微软雅黑"/>
          <w:b/>
          <w:bCs/>
          <w:i w:val="0"/>
          <w:iCs w:val="0"/>
          <w:caps w:val="0"/>
          <w:color w:val="262626"/>
          <w:spacing w:val="0"/>
          <w:sz w:val="48"/>
          <w:szCs w:val="48"/>
          <w:shd w:val="clear" w:fill="FFFFFF"/>
        </w:rPr>
      </w:pPr>
      <w:bookmarkStart w:id="6" w:name="_Toc4692"/>
      <w:r>
        <w:rPr>
          <w:rFonts w:ascii="微软雅黑" w:hAnsi="微软雅黑" w:eastAsia="微软雅黑" w:cs="微软雅黑"/>
          <w:b/>
          <w:bCs/>
          <w:i w:val="0"/>
          <w:iCs w:val="0"/>
          <w:caps w:val="0"/>
          <w:color w:val="262626"/>
          <w:spacing w:val="0"/>
          <w:sz w:val="48"/>
          <w:szCs w:val="48"/>
          <w:shd w:val="clear" w:fill="FFFFFF"/>
        </w:rPr>
        <w:t>《求是》杂志发表习近平总书记重要文章</w:t>
      </w:r>
      <w:r>
        <w:rPr>
          <w:rFonts w:hint="eastAsia" w:ascii="微软雅黑" w:hAnsi="微软雅黑" w:eastAsia="微软雅黑" w:cs="微软雅黑"/>
          <w:b/>
          <w:bCs/>
          <w:i w:val="0"/>
          <w:iCs w:val="0"/>
          <w:caps w:val="0"/>
          <w:color w:val="262626"/>
          <w:spacing w:val="0"/>
          <w:sz w:val="48"/>
          <w:szCs w:val="48"/>
          <w:shd w:val="clear" w:fill="FFFFFF"/>
        </w:rPr>
        <w:br w:type="textWrapping"/>
      </w:r>
      <w:r>
        <w:rPr>
          <w:rFonts w:hint="eastAsia" w:ascii="微软雅黑" w:hAnsi="微软雅黑" w:eastAsia="微软雅黑" w:cs="微软雅黑"/>
          <w:b/>
          <w:bCs/>
          <w:i w:val="0"/>
          <w:iCs w:val="0"/>
          <w:caps w:val="0"/>
          <w:color w:val="262626"/>
          <w:spacing w:val="0"/>
          <w:sz w:val="48"/>
          <w:szCs w:val="48"/>
          <w:shd w:val="clear" w:fill="FFFFFF"/>
        </w:rPr>
        <w:t>《树立和践行正确政绩观》</w:t>
      </w:r>
      <w:bookmarkEnd w:id="6"/>
    </w:p>
    <w:p w14:paraId="1AE4144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90"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r>
        <w:rPr>
          <w:rFonts w:hint="eastAsia" w:ascii="仿宋" w:hAnsi="仿宋" w:eastAsia="仿宋" w:cs="仿宋"/>
          <w:b/>
          <w:bCs/>
          <w:snapToGrid w:val="0"/>
          <w:color w:val="262626"/>
          <w:spacing w:val="17"/>
          <w:kern w:val="0"/>
          <w:sz w:val="31"/>
          <w:szCs w:val="31"/>
          <w:lang w:val="en-US" w:eastAsia="zh-CN" w:bidi="ar-SA"/>
        </w:rPr>
        <w:t>新华社北京3月31日电</w:t>
      </w:r>
      <w:r>
        <w:rPr>
          <w:rFonts w:hint="eastAsia" w:ascii="仿宋" w:hAnsi="仿宋" w:eastAsia="仿宋" w:cs="仿宋"/>
          <w:b w:val="0"/>
          <w:bCs w:val="0"/>
          <w:snapToGrid w:val="0"/>
          <w:color w:val="262626"/>
          <w:spacing w:val="17"/>
          <w:kern w:val="0"/>
          <w:sz w:val="31"/>
          <w:szCs w:val="31"/>
          <w:lang w:val="en-US" w:eastAsia="zh-CN" w:bidi="ar-SA"/>
        </w:rPr>
        <w:t xml:space="preserve">  4月1日出版的第7期《求是》杂志将发表中共中央总书记、国家主席、中央军委主席习近平的重要文章《树立和践行正确政绩观》。这是习近平总书记2012年12月至2026年2月期间有关重要论述的节录。</w:t>
      </w:r>
    </w:p>
    <w:p w14:paraId="2304FF3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r>
        <w:rPr>
          <w:rFonts w:hint="eastAsia" w:ascii="仿宋" w:hAnsi="仿宋" w:eastAsia="仿宋" w:cs="仿宋"/>
          <w:b w:val="0"/>
          <w:bCs w:val="0"/>
          <w:snapToGrid w:val="0"/>
          <w:color w:val="262626"/>
          <w:spacing w:val="17"/>
          <w:kern w:val="0"/>
          <w:sz w:val="31"/>
          <w:szCs w:val="31"/>
          <w:lang w:val="en-US" w:eastAsia="zh-CN" w:bidi="ar-SA"/>
        </w:rPr>
        <w:t>文章强调，政绩观问题是一个根本性问题，关乎立党为公、执政为民。只有不断以良好政绩推动党和国家事业发展、造福人民，才能践行好党的宗旨，也才能完成好党的历史使命。要坚持从实际出发、按规律办事，通过科学决策和实干苦干，创造经得起实践和历史检验、真正造福人民、得到群众公认的业绩。</w:t>
      </w:r>
    </w:p>
    <w:p w14:paraId="3B9C8C0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r>
        <w:rPr>
          <w:rFonts w:hint="eastAsia" w:ascii="仿宋" w:hAnsi="仿宋" w:eastAsia="仿宋" w:cs="仿宋"/>
          <w:b w:val="0"/>
          <w:bCs w:val="0"/>
          <w:snapToGrid w:val="0"/>
          <w:color w:val="262626"/>
          <w:spacing w:val="17"/>
          <w:kern w:val="0"/>
          <w:sz w:val="31"/>
          <w:szCs w:val="31"/>
          <w:lang w:val="en-US" w:eastAsia="zh-CN" w:bidi="ar-SA"/>
        </w:rPr>
        <w:t>文章指出，树立和践行正确政绩观，起决定性作用的是党性。衡量党性强弱的根本尺子是公、私二字。只有党性坚强、摒弃私心杂念，才能保证政绩观不出偏差。各级领导干部要从实现党的使命任务出发，树立和践行正确政绩观，看自己的思想和行动有没有偏离共产主义远大理想和中国特色社会主义共同理想，有没有背离全心全意为人民服务根本宗旨，有没有游离党的路线方针政策和党中央重大决策部署，有没有脱离国情和本地区本部门实际，以功成不必在我、功成必定有我的精神境界，心无旁骛推进中国式现代化。</w:t>
      </w:r>
    </w:p>
    <w:p w14:paraId="56A74AA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r>
        <w:rPr>
          <w:rFonts w:hint="eastAsia" w:ascii="仿宋" w:hAnsi="仿宋" w:eastAsia="仿宋" w:cs="仿宋"/>
          <w:b w:val="0"/>
          <w:bCs w:val="0"/>
          <w:snapToGrid w:val="0"/>
          <w:color w:val="262626"/>
          <w:spacing w:val="17"/>
          <w:kern w:val="0"/>
          <w:sz w:val="31"/>
          <w:szCs w:val="31"/>
          <w:lang w:val="en-US" w:eastAsia="zh-CN" w:bidi="ar-SA"/>
        </w:rPr>
        <w:t>文章指出，共产党人必须牢记，为民造福是最大政绩。干事业、创政绩，为的是造福人民，不是为了个人升迁得失。谋划推进工作，一定要坚持全心全意为人民服务的根本宗旨，坚持以人民为中心的发展思想，坚持发展为了人民、发展依靠人民、发展成果由人民共享，把好事实事做到群众心坎上。要坚持为人民出政绩、以实干出政绩，不在追求政绩上搞急功近利、弄虚作假、盲目蛮干那一套，杜绝新官不理旧账和“形象工程”、“政绩工程”。</w:t>
      </w:r>
    </w:p>
    <w:p w14:paraId="69A1A44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r>
        <w:rPr>
          <w:rFonts w:hint="eastAsia" w:ascii="仿宋" w:hAnsi="仿宋" w:eastAsia="仿宋" w:cs="仿宋"/>
          <w:b w:val="0"/>
          <w:bCs w:val="0"/>
          <w:snapToGrid w:val="0"/>
          <w:color w:val="262626"/>
          <w:spacing w:val="17"/>
          <w:kern w:val="0"/>
          <w:sz w:val="31"/>
          <w:szCs w:val="31"/>
          <w:lang w:val="en-US" w:eastAsia="zh-CN" w:bidi="ar-SA"/>
        </w:rPr>
        <w:t>文章强调，高质量发展是全面建设社会主义现代化国家的首要任务，坚持高质量发展要成为领导干部政绩观的重要内容。把完整准确全面贯彻新发展理念、着力推动高质量发展这个要求一级一级落实下去，没有正确政绩观是做不到的。要处理好稳和进、立和破、虚和实、标和本、近和远的关系，坚持底线思维，强化风险意识，自觉把新发展理念贯穿到经济社会发展全过程。要完善推动高质量发展的政绩考核评价办法，发挥好指挥棒作用，推动各级领导班子认真践行正确政绩观，切实形成正确工作导向。要完善差异化考核评价体系，提高考评针对性和科学性，防止出现“数字出官、官出数字”的恶性循环。</w:t>
      </w:r>
    </w:p>
    <w:p w14:paraId="15A1B22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r>
        <w:rPr>
          <w:rFonts w:hint="eastAsia" w:ascii="仿宋" w:hAnsi="仿宋" w:eastAsia="仿宋" w:cs="仿宋"/>
          <w:b w:val="0"/>
          <w:bCs w:val="0"/>
          <w:snapToGrid w:val="0"/>
          <w:color w:val="262626"/>
          <w:spacing w:val="17"/>
          <w:kern w:val="0"/>
          <w:sz w:val="31"/>
          <w:szCs w:val="31"/>
          <w:lang w:val="en-US" w:eastAsia="zh-CN" w:bidi="ar-SA"/>
        </w:rPr>
        <w:t>文章指出，今年是“十五五”开局之年，地方各级领导班子将陆续换届，通过学习教育推动各级领导班子和领导干部树立和践行正确政绩观，十分重要，很有必要。要把学习教育作为今年党的建设的重要任务，确保取得实效。第一，认认真真、扎扎实实提高思想认识。全党同志特别是各级领导干部要从理论上和实践上深刻认识政绩观对党和国家事业发展的重要性，特别是要对照正反两方面典型，深刻汲取经验教训，提高党性觉悟，以对党和人民高度负责的态度，增强树立和践行正确政绩观的思想自觉和行动自觉。第二，认认真真、扎扎实实整改突出问题。要紧扣贯彻“立党为公、为民造福、科学决策、真抓实干”总要求，一体推进学查改，把问题查清、找准，精准务实抓整改。第三，认认真真、扎扎实实立好制度规矩。要从这次学习教育查改的问题中发现制度漏洞、短板、弱项，切实把制度规矩补齐立好，把什么能干、什么不能干、为了谁干、应当怎样干搞得清清楚楚，并且配套完善问责办法，让制度硬起来，充分发挥引导激励、规范约束作用。</w:t>
      </w:r>
    </w:p>
    <w:p w14:paraId="730DAF4A">
      <w:pPr>
        <w:pStyle w:val="2"/>
        <w:bidi w:val="0"/>
        <w:spacing w:line="240" w:lineRule="auto"/>
      </w:pPr>
    </w:p>
    <w:p w14:paraId="33A56169">
      <w:pPr>
        <w:pStyle w:val="2"/>
        <w:bidi w:val="0"/>
        <w:spacing w:line="240" w:lineRule="auto"/>
      </w:pPr>
    </w:p>
    <w:p w14:paraId="611328D4">
      <w:pPr>
        <w:pStyle w:val="2"/>
        <w:bidi w:val="0"/>
        <w:spacing w:line="240" w:lineRule="auto"/>
      </w:pPr>
    </w:p>
    <w:p w14:paraId="0BC212E2">
      <w:pPr>
        <w:pStyle w:val="2"/>
        <w:bidi w:val="0"/>
        <w:spacing w:line="240" w:lineRule="auto"/>
      </w:pPr>
    </w:p>
    <w:p w14:paraId="743EA56B">
      <w:pPr>
        <w:pStyle w:val="2"/>
        <w:bidi w:val="0"/>
        <w:spacing w:line="240" w:lineRule="auto"/>
      </w:pPr>
    </w:p>
    <w:p w14:paraId="598A54FC">
      <w:pPr>
        <w:pStyle w:val="2"/>
        <w:bidi w:val="0"/>
        <w:spacing w:line="240" w:lineRule="auto"/>
      </w:pPr>
    </w:p>
    <w:p w14:paraId="4C1856A3">
      <w:pPr>
        <w:bidi w:val="0"/>
      </w:pPr>
    </w:p>
    <w:p w14:paraId="50749B89">
      <w:pPr>
        <w:bidi w:val="0"/>
      </w:pPr>
    </w:p>
    <w:p w14:paraId="2751A368">
      <w:pPr>
        <w:bidi w:val="0"/>
      </w:pPr>
    </w:p>
    <w:p w14:paraId="3DF0269A">
      <w:pPr>
        <w:bidi w:val="0"/>
      </w:pPr>
    </w:p>
    <w:p w14:paraId="53D43F9A">
      <w:pPr>
        <w:pStyle w:val="2"/>
        <w:bidi w:val="0"/>
      </w:pPr>
      <w:bookmarkStart w:id="7" w:name="_Toc2478"/>
      <w:r>
        <w:t>中共中央政治局召开会议</w:t>
      </w:r>
      <w:bookmarkEnd w:id="7"/>
      <w:r>
        <w:t xml:space="preserve"> </w:t>
      </w:r>
    </w:p>
    <w:p w14:paraId="4454E8B8">
      <w:pPr>
        <w:pStyle w:val="2"/>
        <w:bidi w:val="0"/>
      </w:pPr>
      <w:bookmarkStart w:id="8" w:name="_Toc24539"/>
      <w:r>
        <w:t>中共中央总书记习近平主持会议</w:t>
      </w:r>
      <w:bookmarkEnd w:id="8"/>
    </w:p>
    <w:p w14:paraId="2270FF7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r>
        <w:rPr>
          <w:rFonts w:hint="eastAsia" w:ascii="仿宋" w:hAnsi="仿宋" w:eastAsia="仿宋" w:cs="仿宋"/>
          <w:b w:val="0"/>
          <w:bCs w:val="0"/>
          <w:snapToGrid w:val="0"/>
          <w:color w:val="262626"/>
          <w:spacing w:val="17"/>
          <w:kern w:val="0"/>
          <w:sz w:val="31"/>
          <w:szCs w:val="31"/>
          <w:lang w:val="en-US" w:eastAsia="zh-CN" w:bidi="ar-SA"/>
        </w:rPr>
        <w:t>新华社北京3月27日电 中共中央政治局3月27日召开会议，审议《中国共产党地方委员会工作条例》。中共中央总书记习近平主持会议。</w:t>
      </w:r>
    </w:p>
    <w:p w14:paraId="49710B0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r>
        <w:rPr>
          <w:rFonts w:hint="eastAsia" w:ascii="仿宋" w:hAnsi="仿宋" w:eastAsia="仿宋" w:cs="仿宋"/>
          <w:b w:val="0"/>
          <w:bCs w:val="0"/>
          <w:snapToGrid w:val="0"/>
          <w:color w:val="262626"/>
          <w:spacing w:val="17"/>
          <w:kern w:val="0"/>
          <w:sz w:val="31"/>
          <w:szCs w:val="31"/>
          <w:lang w:val="en-US" w:eastAsia="zh-CN" w:bidi="ar-SA"/>
        </w:rPr>
        <w:t>会议指出，地方党委要坚决维护以习近平同志为核心的党中央权威和集中统一领导，把贯彻落实党中央决策部署作为重中之重，对党中央定下来的事扭住不放、狠抓落实，同时紧密结合本地区实际，增强工作主动性、创造性。</w:t>
      </w:r>
    </w:p>
    <w:p w14:paraId="738B369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r>
        <w:rPr>
          <w:rFonts w:hint="eastAsia" w:ascii="仿宋" w:hAnsi="仿宋" w:eastAsia="仿宋" w:cs="仿宋"/>
          <w:b w:val="0"/>
          <w:bCs w:val="0"/>
          <w:snapToGrid w:val="0"/>
          <w:color w:val="262626"/>
          <w:spacing w:val="17"/>
          <w:kern w:val="0"/>
          <w:sz w:val="31"/>
          <w:szCs w:val="31"/>
          <w:lang w:val="en-US" w:eastAsia="zh-CN" w:bidi="ar-SA"/>
        </w:rPr>
        <w:t>会议强调，地方党委在谋发展保安全上责无旁贷，要脚踏实地、真抓实干。要完整准确全面贯彻新发展理念，扎扎实实推动高质量发展，着力保障和改善民生，全力维护国家安全和社会大局稳定。要树立和践行正确政绩观，坚持为人民出政绩、以实干出政绩，努力创造经得起实践、人民、历史检验的实绩。要在地方党委领导班子中强化民主集中制教育，完善议事决策规则，细化负面清单，健全监督机制，明确监督重点事项、具体措施、责任追究等内容，确保民主集中制严格贯彻执行。地方党委领导班子成员要加强理论学习，提高专业素质，着力提高领导能力。要扛起管党治党政治责任，坚定不移推进全面从严治党，锲而不舍严格贯彻中央八项规定及其实施细则精神，深入整治形式主义为基层减负，依法依规用权，守好廉洁底线，推动形成风清气正的政治生态。</w:t>
      </w:r>
    </w:p>
    <w:p w14:paraId="4CCA8F6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r>
        <w:rPr>
          <w:rFonts w:hint="eastAsia" w:ascii="仿宋" w:hAnsi="仿宋" w:eastAsia="仿宋" w:cs="仿宋"/>
          <w:b w:val="0"/>
          <w:bCs w:val="0"/>
          <w:snapToGrid w:val="0"/>
          <w:color w:val="262626"/>
          <w:spacing w:val="17"/>
          <w:kern w:val="0"/>
          <w:sz w:val="31"/>
          <w:szCs w:val="31"/>
          <w:lang w:val="en-US" w:eastAsia="zh-CN" w:bidi="ar-SA"/>
        </w:rPr>
        <w:t>会议还研究了其他事项。</w:t>
      </w:r>
    </w:p>
    <w:p w14:paraId="5162960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356520F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304EAD1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70C01B5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67C750D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7DB0494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43060DB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46B3764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0DFE128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5EA0A5A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19D6830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4C81FD9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44682D4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4C9FA79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4C773AE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1826347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47F8817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29EB1D3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31129A3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02D2233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4DA4BC8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1D30477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49FE28AE">
      <w:pPr>
        <w:pStyle w:val="2"/>
        <w:bidi w:val="0"/>
        <w:rPr>
          <w:rFonts w:hint="eastAsia"/>
          <w:lang w:val="en-US" w:eastAsia="zh-CN"/>
        </w:rPr>
      </w:pPr>
      <w:bookmarkStart w:id="9" w:name="_Toc4948"/>
      <w:r>
        <w:rPr>
          <w:rFonts w:hint="eastAsia"/>
          <w:lang w:val="en-US" w:eastAsia="zh-CN"/>
        </w:rPr>
        <w:t>习近平：推动海洋经济高质量发展</w:t>
      </w:r>
      <w:bookmarkEnd w:id="9"/>
    </w:p>
    <w:p w14:paraId="360F16D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r>
        <w:rPr>
          <w:rFonts w:hint="eastAsia" w:ascii="仿宋" w:hAnsi="仿宋" w:eastAsia="仿宋" w:cs="仿宋"/>
          <w:b w:val="0"/>
          <w:bCs w:val="0"/>
          <w:snapToGrid w:val="0"/>
          <w:color w:val="262626"/>
          <w:spacing w:val="17"/>
          <w:kern w:val="0"/>
          <w:sz w:val="31"/>
          <w:szCs w:val="31"/>
          <w:lang w:val="en-US" w:eastAsia="zh-CN" w:bidi="ar-SA"/>
        </w:rPr>
        <w:t>我国经略海洋、开发海洋历史悠久，先秦时期就有“煮海为盐”的生产活动，唐宋时期“海上丝绸之路”十分兴盛，明朝郑和七下西洋更是世界航海史上的壮举。新中国成立后，我们有序开发利用海洋。改革开放后，我国海洋经济进入加快发展期。我对海洋经济发展一直高度关注，在福建工作时提出建设“海上福建”，念好“山海经”；党的十八大以来每次到沿海地区考察，都强调大力发展海洋经济、建设海洋强国。2024年，我国海洋经济规模达到10.5万亿元，比2012年翻了一番多，占国内生产总值的7.8%。我国攻克了造船工业皇冠上的“三大明珠”，建成“蛟龙”号、“梦想”号、“深海一号”等国之重器，海洋渔业、海上风电等产业规模位居全球前列。</w:t>
      </w:r>
    </w:p>
    <w:p w14:paraId="537B1B3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r>
        <w:rPr>
          <w:rFonts w:hint="eastAsia" w:ascii="仿宋" w:hAnsi="仿宋" w:eastAsia="仿宋" w:cs="仿宋"/>
          <w:b w:val="0"/>
          <w:bCs w:val="0"/>
          <w:snapToGrid w:val="0"/>
          <w:color w:val="262626"/>
          <w:spacing w:val="17"/>
          <w:kern w:val="0"/>
          <w:sz w:val="31"/>
          <w:szCs w:val="31"/>
          <w:lang w:val="en-US" w:eastAsia="zh-CN" w:bidi="ar-SA"/>
        </w:rPr>
        <w:t>推进中国式现代化，必须高效开发利用海洋，推动海洋经济高质量发展，走出一条具有中国特色的向海图强之路。大的思路上，要更加注重创新驱动，尽快突破关键核心技术，推动海洋科技实现高水平自立自强；更加注重高效协同，坚持陆海统筹、山海联动，增强协同发展合力；更加注重产业更新，推动海洋传统产业转型升级，大力发展海洋新兴产业，积极培育海洋未来产业，建设现代海洋产业体系；更加注重人海和谐，统筹海洋资源开发和保护，建设可持续的海洋生态环境，形成人海良性互动的新格局；更加注重合作共赢，主动参与全球海洋治理，共同和平利用海洋能源资源，坚决维护我国领土主权和海洋权益。具体工作上，要重点抓好6个方面。</w:t>
      </w:r>
    </w:p>
    <w:p w14:paraId="5F9DA97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r>
        <w:rPr>
          <w:rFonts w:hint="eastAsia" w:ascii="仿宋" w:hAnsi="仿宋" w:eastAsia="仿宋" w:cs="仿宋"/>
          <w:b w:val="0"/>
          <w:bCs w:val="0"/>
          <w:snapToGrid w:val="0"/>
          <w:color w:val="262626"/>
          <w:spacing w:val="17"/>
          <w:kern w:val="0"/>
          <w:sz w:val="31"/>
          <w:szCs w:val="31"/>
          <w:lang w:val="en-US" w:eastAsia="zh-CN" w:bidi="ar-SA"/>
        </w:rPr>
        <w:t>第一，加强顶层设计和政策支持。制定出台进一步推动海洋经济高质量发展的指导意见，编制“十五五”海洋经济发展规划，加大产业、科技、财税、金融等方面政策支持力度。鼓励引导社会资本积极参与发展海洋经济。</w:t>
      </w:r>
    </w:p>
    <w:p w14:paraId="01D14DE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r>
        <w:rPr>
          <w:rFonts w:hint="eastAsia" w:ascii="仿宋" w:hAnsi="仿宋" w:eastAsia="仿宋" w:cs="仿宋"/>
          <w:b w:val="0"/>
          <w:bCs w:val="0"/>
          <w:snapToGrid w:val="0"/>
          <w:color w:val="262626"/>
          <w:spacing w:val="17"/>
          <w:kern w:val="0"/>
          <w:sz w:val="31"/>
          <w:szCs w:val="31"/>
          <w:lang w:val="en-US" w:eastAsia="zh-CN" w:bidi="ar-SA"/>
        </w:rPr>
        <w:t>第二，提高海洋科技自主创新能力。强化海洋战略科技力量，持续推动建设海洋和极地国家实验室、全国重点实验室，培育发展海洋科技领军企业和专精特新中小企业，实施“蓝色人才”专项计划。</w:t>
      </w:r>
    </w:p>
    <w:p w14:paraId="5E1A879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r>
        <w:rPr>
          <w:rFonts w:hint="eastAsia" w:ascii="仿宋" w:hAnsi="仿宋" w:eastAsia="仿宋" w:cs="仿宋"/>
          <w:b w:val="0"/>
          <w:bCs w:val="0"/>
          <w:snapToGrid w:val="0"/>
          <w:color w:val="262626"/>
          <w:spacing w:val="17"/>
          <w:kern w:val="0"/>
          <w:sz w:val="31"/>
          <w:szCs w:val="31"/>
          <w:lang w:val="en-US" w:eastAsia="zh-CN" w:bidi="ar-SA"/>
        </w:rPr>
        <w:t>第三，做强做优做大海洋产业。开展新一轮海洋综合调查。推进重点海域油气勘探开发，推动海上风电规范有序建设，规模化开发潮汐能等海洋能。开展“蓝色种业”创新行动，拓展深远海养殖，发展现代化远洋捕捞。积极发展海洋生物医药、生物制品。打造海洋特色文化和旅游目的地。推进船舶和海洋工程装备产业高质量发展行动。加强“数字海洋”建设，发展“蓝色金融”，推动海运业高质量发展。</w:t>
      </w:r>
    </w:p>
    <w:p w14:paraId="5FB3753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r>
        <w:rPr>
          <w:rFonts w:hint="eastAsia" w:ascii="仿宋" w:hAnsi="仿宋" w:eastAsia="仿宋" w:cs="仿宋"/>
          <w:b w:val="0"/>
          <w:bCs w:val="0"/>
          <w:snapToGrid w:val="0"/>
          <w:color w:val="262626"/>
          <w:spacing w:val="17"/>
          <w:kern w:val="0"/>
          <w:sz w:val="31"/>
          <w:szCs w:val="31"/>
          <w:lang w:val="en-US" w:eastAsia="zh-CN" w:bidi="ar-SA"/>
        </w:rPr>
        <w:t>第四，加强主要海湾整体规划。有序推进沿海港口群优化整合，支持重点港口绿色化、数智化转型。推进西部陆海新通道建设。</w:t>
      </w:r>
    </w:p>
    <w:p w14:paraId="35E0B7E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r>
        <w:rPr>
          <w:rFonts w:hint="eastAsia" w:ascii="仿宋" w:hAnsi="仿宋" w:eastAsia="仿宋" w:cs="仿宋"/>
          <w:b w:val="0"/>
          <w:bCs w:val="0"/>
          <w:snapToGrid w:val="0"/>
          <w:color w:val="262626"/>
          <w:spacing w:val="17"/>
          <w:kern w:val="0"/>
          <w:sz w:val="31"/>
          <w:szCs w:val="31"/>
          <w:lang w:val="en-US" w:eastAsia="zh-CN" w:bidi="ar-SA"/>
        </w:rPr>
        <w:t>第五，加强海洋生态环境保护。加强海洋环境风险源头防范，接续实施重点海域综合治理，推进蓝色海湾、美丽岸滩、和美海岛建设行动。制定差异化用海标准规范，积极推进海域分层立体利用。探索开展海洋碳汇核算。有效应对海水倒灌、海平面上升等自然灾害。</w:t>
      </w:r>
    </w:p>
    <w:p w14:paraId="5F95163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r>
        <w:rPr>
          <w:rFonts w:hint="eastAsia" w:ascii="仿宋" w:hAnsi="仿宋" w:eastAsia="仿宋" w:cs="仿宋"/>
          <w:b w:val="0"/>
          <w:bCs w:val="0"/>
          <w:snapToGrid w:val="0"/>
          <w:color w:val="262626"/>
          <w:spacing w:val="17"/>
          <w:kern w:val="0"/>
          <w:sz w:val="31"/>
          <w:szCs w:val="31"/>
          <w:lang w:val="en-US" w:eastAsia="zh-CN" w:bidi="ar-SA"/>
        </w:rPr>
        <w:t>第六，深度参与全球海洋治理。加强全球海洋科研调查、防灾减灾、蓝色经济合作，推进“一带一路”国际港口联盟建设，完善同21世纪海上丝绸之路沿线国家的合作机制。</w:t>
      </w:r>
    </w:p>
    <w:p w14:paraId="12B5DB8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r>
        <w:rPr>
          <w:rFonts w:hint="eastAsia" w:ascii="仿宋" w:hAnsi="仿宋" w:eastAsia="仿宋" w:cs="仿宋"/>
          <w:b w:val="0"/>
          <w:bCs w:val="0"/>
          <w:snapToGrid w:val="0"/>
          <w:color w:val="262626"/>
          <w:spacing w:val="17"/>
          <w:kern w:val="0"/>
          <w:sz w:val="31"/>
          <w:szCs w:val="31"/>
          <w:lang w:val="en-US" w:eastAsia="zh-CN" w:bidi="ar-SA"/>
        </w:rPr>
        <w:t>※这是习近平总书记2025年7月1日在二十届中央财经委员会第六次会议上讲话的一部分。</w:t>
      </w:r>
    </w:p>
    <w:p w14:paraId="259DE9F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7159FB1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4B0463B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77BC116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53C9E2B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2B75FEC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752F029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7427CDE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42954AD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27CABD8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3312C7A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093E586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1ACE5B1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3E5DC8D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3AB9685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1D52569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0349E53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093896E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482FC334">
      <w:pPr>
        <w:pStyle w:val="2"/>
        <w:bidi w:val="0"/>
        <w:rPr>
          <w:rFonts w:hint="eastAsia"/>
          <w:lang w:val="en-US" w:eastAsia="zh-CN"/>
        </w:rPr>
      </w:pPr>
      <w:bookmarkStart w:id="10" w:name="_Toc22235"/>
      <w:r>
        <w:t>习近平向世界数据组织成立致贺信</w:t>
      </w:r>
      <w:bookmarkEnd w:id="10"/>
    </w:p>
    <w:p w14:paraId="4B39D7C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r>
        <w:rPr>
          <w:rFonts w:hint="eastAsia" w:ascii="仿宋" w:hAnsi="仿宋" w:eastAsia="仿宋" w:cs="仿宋"/>
          <w:b w:val="0"/>
          <w:bCs w:val="0"/>
          <w:snapToGrid w:val="0"/>
          <w:color w:val="262626"/>
          <w:spacing w:val="17"/>
          <w:kern w:val="0"/>
          <w:sz w:val="31"/>
          <w:szCs w:val="31"/>
          <w:lang w:val="en-US" w:eastAsia="zh-CN" w:bidi="ar-SA"/>
        </w:rPr>
        <w:t>新华社北京3月30日电 3月30日，国家主席习近平向世界数据组织成立致贺信。</w:t>
      </w:r>
    </w:p>
    <w:p w14:paraId="1F9BC5F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r>
        <w:rPr>
          <w:rFonts w:hint="eastAsia" w:ascii="仿宋" w:hAnsi="仿宋" w:eastAsia="仿宋" w:cs="仿宋"/>
          <w:b w:val="0"/>
          <w:bCs w:val="0"/>
          <w:snapToGrid w:val="0"/>
          <w:color w:val="262626"/>
          <w:spacing w:val="17"/>
          <w:kern w:val="0"/>
          <w:sz w:val="31"/>
          <w:szCs w:val="31"/>
          <w:lang w:val="en-US" w:eastAsia="zh-CN" w:bidi="ar-SA"/>
        </w:rPr>
        <w:t>习近平指出，当今世界正在加速迈入智能时代，数据的基础资源作用和创新引擎作用日渐显现。世界数据组织以“弥合数据鸿沟、释放数据价值、繁荣数字经济”为宗旨，为深化数据国际合作、完善全球数据治理提供了有益平台。</w:t>
      </w:r>
    </w:p>
    <w:p w14:paraId="2EC5157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r>
        <w:rPr>
          <w:rFonts w:hint="eastAsia" w:ascii="仿宋" w:hAnsi="仿宋" w:eastAsia="仿宋" w:cs="仿宋"/>
          <w:b w:val="0"/>
          <w:bCs w:val="0"/>
          <w:snapToGrid w:val="0"/>
          <w:color w:val="262626"/>
          <w:spacing w:val="17"/>
          <w:kern w:val="0"/>
          <w:sz w:val="31"/>
          <w:szCs w:val="31"/>
          <w:lang w:val="en-US" w:eastAsia="zh-CN" w:bidi="ar-SA"/>
        </w:rPr>
        <w:t>习近平强调，中国将秉持共商共建共享理念，支持世界数据组织发挥作用，同各方一道凝聚数据治理规则共识，推动数智技术创新，促进数据安全有序流动和高效开发利用，服务全球数字经济健康发展，让数据红利更好造福各国人民。</w:t>
      </w:r>
    </w:p>
    <w:p w14:paraId="532C2E0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r>
        <w:rPr>
          <w:rFonts w:hint="eastAsia" w:ascii="仿宋" w:hAnsi="仿宋" w:eastAsia="仿宋" w:cs="仿宋"/>
          <w:b w:val="0"/>
          <w:bCs w:val="0"/>
          <w:snapToGrid w:val="0"/>
          <w:color w:val="262626"/>
          <w:spacing w:val="17"/>
          <w:kern w:val="0"/>
          <w:sz w:val="31"/>
          <w:szCs w:val="31"/>
          <w:lang w:val="en-US" w:eastAsia="zh-CN" w:bidi="ar-SA"/>
        </w:rPr>
        <w:t>世界数据组织成立大会当日在北京举行，主题为“共建数据合作平台·共享数字发展机遇”。该组织会员包括全球数据领域相关企业、高校、智库、国际组织、金融机构等。</w:t>
      </w:r>
    </w:p>
    <w:p w14:paraId="793B322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4A98B41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3D4ADDE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72753B5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18355EA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565DD51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1CA2B45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2F4AAD7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4987973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p>
    <w:p w14:paraId="25DB89EE">
      <w:pPr>
        <w:pStyle w:val="2"/>
        <w:bidi w:val="0"/>
        <w:rPr>
          <w:rFonts w:hint="eastAsia"/>
        </w:rPr>
      </w:pPr>
      <w:bookmarkStart w:id="11" w:name="_Toc12961"/>
      <w:r>
        <w:t>习近平会见土库曼斯坦民族领袖、人民委员会主席</w:t>
      </w:r>
      <w:r>
        <w:rPr>
          <w:rFonts w:hint="eastAsia"/>
        </w:rPr>
        <w:br w:type="textWrapping"/>
      </w:r>
      <w:r>
        <w:rPr>
          <w:rFonts w:hint="eastAsia"/>
        </w:rPr>
        <w:t>别尔德穆哈梅多夫</w:t>
      </w:r>
      <w:bookmarkEnd w:id="11"/>
    </w:p>
    <w:p w14:paraId="46984C9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r>
        <w:rPr>
          <w:rFonts w:hint="eastAsia" w:ascii="仿宋" w:hAnsi="仿宋" w:eastAsia="仿宋" w:cs="仿宋"/>
          <w:b w:val="0"/>
          <w:bCs w:val="0"/>
          <w:snapToGrid w:val="0"/>
          <w:color w:val="262626"/>
          <w:spacing w:val="17"/>
          <w:kern w:val="0"/>
          <w:sz w:val="31"/>
          <w:szCs w:val="31"/>
          <w:lang w:val="en-US" w:eastAsia="zh-CN" w:bidi="ar-SA"/>
        </w:rPr>
        <w:t>新华社北京3月18日电 3月18日下午，国家主席习近平在北京钓鱼台国宾馆会见来华进行友好访问的土库曼斯坦民族领袖、人民委员会主席别尔德穆哈梅多夫。</w:t>
      </w:r>
    </w:p>
    <w:p w14:paraId="233AD59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r>
        <w:rPr>
          <w:rFonts w:hint="eastAsia" w:ascii="仿宋" w:hAnsi="仿宋" w:eastAsia="仿宋" w:cs="仿宋"/>
          <w:b w:val="0"/>
          <w:bCs w:val="0"/>
          <w:snapToGrid w:val="0"/>
          <w:color w:val="262626"/>
          <w:spacing w:val="17"/>
          <w:kern w:val="0"/>
          <w:sz w:val="31"/>
          <w:szCs w:val="31"/>
          <w:lang w:val="en-US" w:eastAsia="zh-CN" w:bidi="ar-SA"/>
        </w:rPr>
        <w:t>习近平指出，前不久中国全国两会成功召开，审查批准了“十五五”规划纲要。规划纲要的实施将为中国基本实现社会主义现代化奠定坚实基础，也将惠及世界各国。土库曼斯坦独立35年来，走出一条独立自主、符合自身国情的发展道路。马年伊始，中方愿同土方共商合作大计，共享发展机遇，推动中土命运共同体建设不断走深走实。</w:t>
      </w:r>
    </w:p>
    <w:p w14:paraId="37F9519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r>
        <w:rPr>
          <w:rFonts w:hint="eastAsia" w:ascii="仿宋" w:hAnsi="仿宋" w:eastAsia="仿宋" w:cs="仿宋"/>
          <w:b w:val="0"/>
          <w:bCs w:val="0"/>
          <w:snapToGrid w:val="0"/>
          <w:color w:val="262626"/>
          <w:spacing w:val="17"/>
          <w:kern w:val="0"/>
          <w:sz w:val="31"/>
          <w:szCs w:val="31"/>
          <w:lang w:val="en-US" w:eastAsia="zh-CN" w:bidi="ar-SA"/>
        </w:rPr>
        <w:t>习近平强调，相互支持是中土全面战略伙伴关系的核心要义。无论国际形势如何变化，中方将始终支持土方维护国家独立、主权和领土完整，始终支持土方奉行永久中立政策，始终做土方值得信赖的合作伙伴。双方要加快推进共建“一带一路”倡议和“复兴丝绸之路”战略对接，扩大天然气领域合作规模，提升贸易和投资水平，拓展互联互通、农业、人工智能、数字经济、清洁能源等非资源领域合作，加快推进鲁班工坊、中医药中心、互设文化中心工作，打造全方位合作新格局。要坚决打击“三股势力”，为两国发展筑牢安全屏障。当前全球挑战层出不穷，中方愿同土方一道，坚定维护联合国地位和权威，践行真正的多边主义，坚持共商共建共享的全球治理观，以公平正义、开放包容理念引领全球治理变革。</w:t>
      </w:r>
    </w:p>
    <w:p w14:paraId="71D663F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r>
        <w:rPr>
          <w:rFonts w:hint="eastAsia" w:ascii="仿宋" w:hAnsi="仿宋" w:eastAsia="仿宋" w:cs="仿宋"/>
          <w:b w:val="0"/>
          <w:bCs w:val="0"/>
          <w:snapToGrid w:val="0"/>
          <w:color w:val="262626"/>
          <w:spacing w:val="17"/>
          <w:kern w:val="0"/>
          <w:sz w:val="31"/>
          <w:szCs w:val="31"/>
          <w:lang w:val="en-US" w:eastAsia="zh-CN" w:bidi="ar-SA"/>
        </w:rPr>
        <w:t>别尔德穆哈梅多夫表示，很高兴到访伟大的中国，祝贺中国全国两会成功举行，对各项事业发展作出重大决策部署。中国的繁荣发展使世界受益。中国好，世界会更好。在习近平主席亲自推动下，土中友好关系快速稳定发展，立法机构、党际交往密切，各领域合作内涵丰富，达到全面战略伙伴的高水平。土中合作已成为两国经济社会发展的重要积极因素，符合两国人民的长远利益。土方将一如既往恪守一个中国原则，愿同中方加强发展战略对接，拓展能源、贸易、互联互通等领域务实合作，共谋发展繁荣，共促安全稳定。土方感谢中方支持土库曼斯坦永久中立地位，高度评价习近平主席作为世界级领袖提出的四大全球倡议，赞赏中方在国际事务中一直秉持公正立场。土方愿同中方加强在联合国、中国－中亚机制等多边平台的协调配合，共同维护地区和世界的和平稳定。</w:t>
      </w:r>
    </w:p>
    <w:p w14:paraId="16DF6C2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360" w:lineRule="auto"/>
        <w:ind w:left="0" w:right="0" w:firstLine="688" w:firstLineChars="200"/>
        <w:jc w:val="both"/>
        <w:textAlignment w:val="baseline"/>
        <w:rPr>
          <w:rFonts w:hint="eastAsia" w:ascii="仿宋" w:hAnsi="仿宋" w:eastAsia="仿宋" w:cs="仿宋"/>
          <w:b w:val="0"/>
          <w:bCs w:val="0"/>
          <w:snapToGrid w:val="0"/>
          <w:color w:val="262626"/>
          <w:spacing w:val="17"/>
          <w:kern w:val="0"/>
          <w:sz w:val="31"/>
          <w:szCs w:val="31"/>
          <w:lang w:val="en-US" w:eastAsia="zh-CN" w:bidi="ar-SA"/>
        </w:rPr>
      </w:pPr>
      <w:r>
        <w:rPr>
          <w:rFonts w:hint="eastAsia" w:ascii="仿宋" w:hAnsi="仿宋" w:eastAsia="仿宋" w:cs="仿宋"/>
          <w:b w:val="0"/>
          <w:bCs w:val="0"/>
          <w:snapToGrid w:val="0"/>
          <w:color w:val="262626"/>
          <w:spacing w:val="17"/>
          <w:kern w:val="0"/>
          <w:sz w:val="31"/>
          <w:szCs w:val="31"/>
          <w:lang w:val="en-US" w:eastAsia="zh-CN" w:bidi="ar-SA"/>
        </w:rPr>
        <w:t>王毅参加会见。</w:t>
      </w:r>
    </w:p>
    <w:p w14:paraId="2B191218">
      <w:pPr>
        <w:keepNext w:val="0"/>
        <w:keepLines w:val="0"/>
        <w:pageBreakBefore w:val="0"/>
        <w:widowControl/>
        <w:kinsoku/>
        <w:wordWrap/>
        <w:overflowPunct w:val="0"/>
        <w:topLinePunct w:val="0"/>
        <w:autoSpaceDE w:val="0"/>
        <w:autoSpaceDN w:val="0"/>
        <w:bidi w:val="0"/>
        <w:adjustRightInd w:val="0"/>
        <w:snapToGrid w:val="0"/>
        <w:spacing w:line="360" w:lineRule="auto"/>
        <w:ind w:left="0" w:right="0" w:firstLine="540" w:firstLineChars="200"/>
        <w:jc w:val="left"/>
        <w:textAlignment w:val="baseline"/>
        <w:rPr>
          <w:rFonts w:hint="eastAsia" w:ascii="微软雅黑" w:hAnsi="微软雅黑" w:eastAsia="微软雅黑" w:cs="微软雅黑"/>
          <w:i w:val="0"/>
          <w:iCs w:val="0"/>
          <w:caps w:val="0"/>
          <w:color w:val="262626"/>
          <w:spacing w:val="0"/>
          <w:sz w:val="27"/>
          <w:szCs w:val="27"/>
          <w:shd w:val="clear" w:fill="FFFFFF"/>
          <w:lang w:val="en-US" w:eastAsia="zh-CN"/>
        </w:rPr>
      </w:pPr>
    </w:p>
    <w:p w14:paraId="70474CCE">
      <w:pPr>
        <w:keepNext w:val="0"/>
        <w:keepLines w:val="0"/>
        <w:pageBreakBefore w:val="0"/>
        <w:widowControl/>
        <w:kinsoku/>
        <w:wordWrap/>
        <w:overflowPunct w:val="0"/>
        <w:topLinePunct w:val="0"/>
        <w:autoSpaceDE w:val="0"/>
        <w:autoSpaceDN w:val="0"/>
        <w:bidi w:val="0"/>
        <w:adjustRightInd w:val="0"/>
        <w:snapToGrid w:val="0"/>
        <w:spacing w:line="360" w:lineRule="auto"/>
        <w:ind w:right="0" w:firstLine="540" w:firstLineChars="200"/>
        <w:jc w:val="both"/>
        <w:textAlignment w:val="baseline"/>
        <w:rPr>
          <w:rFonts w:hint="eastAsia" w:ascii="微软雅黑" w:hAnsi="微软雅黑" w:eastAsia="微软雅黑" w:cs="微软雅黑"/>
          <w:i w:val="0"/>
          <w:iCs w:val="0"/>
          <w:caps w:val="0"/>
          <w:color w:val="555555"/>
          <w:spacing w:val="0"/>
          <w:sz w:val="27"/>
          <w:szCs w:val="27"/>
          <w:shd w:val="clear" w:fill="FFFFFF"/>
          <w:lang w:val="en-US" w:eastAsia="zh-CN"/>
        </w:rPr>
      </w:pPr>
    </w:p>
    <w:sectPr>
      <w:footerReference r:id="rId5" w:type="default"/>
      <w:pgSz w:w="11907" w:h="16839"/>
      <w:pgMar w:top="1431" w:right="1482" w:bottom="1402" w:left="1521" w:header="0" w:footer="1201" w:gutter="0"/>
      <w:pgNumType w:fmt="decimal"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49429">
    <w:pPr>
      <w:spacing w:line="220" w:lineRule="auto"/>
      <w:ind w:left="436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AE4AB8">
                          <w:pPr>
                            <w:pStyle w:val="4"/>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1AE4AB8">
                    <w:pPr>
                      <w:pStyle w:val="4"/>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rsids>
    <w:rsidRoot w:val="00000000"/>
    <w:rsid w:val="009405A9"/>
    <w:rsid w:val="009F3794"/>
    <w:rsid w:val="047223C8"/>
    <w:rsid w:val="10243681"/>
    <w:rsid w:val="125712C6"/>
    <w:rsid w:val="155F79D7"/>
    <w:rsid w:val="18E1341B"/>
    <w:rsid w:val="1E9B6843"/>
    <w:rsid w:val="1F4C7E66"/>
    <w:rsid w:val="1F5D7311"/>
    <w:rsid w:val="2B232147"/>
    <w:rsid w:val="2B6D7ACB"/>
    <w:rsid w:val="2B95478C"/>
    <w:rsid w:val="2C772889"/>
    <w:rsid w:val="30CA4CB3"/>
    <w:rsid w:val="343A12B1"/>
    <w:rsid w:val="367E4976"/>
    <w:rsid w:val="37E87E14"/>
    <w:rsid w:val="3A585A70"/>
    <w:rsid w:val="438E56E3"/>
    <w:rsid w:val="47C44F56"/>
    <w:rsid w:val="49567D19"/>
    <w:rsid w:val="4DC07F2D"/>
    <w:rsid w:val="4F8A149D"/>
    <w:rsid w:val="53026A36"/>
    <w:rsid w:val="58064B79"/>
    <w:rsid w:val="5C61531C"/>
    <w:rsid w:val="5FD81F33"/>
    <w:rsid w:val="62004FA2"/>
    <w:rsid w:val="64A96A2B"/>
    <w:rsid w:val="6B6D21C1"/>
    <w:rsid w:val="72962B51"/>
    <w:rsid w:val="73F74046"/>
    <w:rsid w:val="76622145"/>
    <w:rsid w:val="7D85227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qFormat/>
    <w:uiPriority w:val="0"/>
    <w:pPr>
      <w:keepNext/>
      <w:keepLines/>
      <w:spacing w:beforeLines="0" w:beforeAutospacing="0" w:afterLines="0" w:afterAutospacing="0" w:line="360" w:lineRule="auto"/>
      <w:jc w:val="center"/>
      <w:outlineLvl w:val="0"/>
    </w:pPr>
    <w:rPr>
      <w:rFonts w:ascii="Arial" w:hAnsi="Arial" w:eastAsia="微软雅黑"/>
      <w:b/>
      <w:kern w:val="44"/>
      <w:sz w:val="36"/>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微软雅黑" w:hAnsi="微软雅黑" w:eastAsia="微软雅黑" w:cs="微软雅黑"/>
      <w:sz w:val="88"/>
      <w:szCs w:val="88"/>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0">
    <w:name w:val="Strong"/>
    <w:basedOn w:val="9"/>
    <w:qFormat/>
    <w:uiPriority w:val="0"/>
    <w:rPr>
      <w:b/>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WPSOffice手动目录 1"/>
    <w:qFormat/>
    <w:uiPriority w:val="0"/>
    <w:pPr>
      <w:ind w:leftChars="0"/>
    </w:pPr>
    <w:rPr>
      <w:rFonts w:ascii="Arial" w:hAnsi="Arial" w:eastAsia="Arial" w:cs="Arial"/>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15086</Words>
  <Characters>15280</Characters>
  <TotalTime>7</TotalTime>
  <ScaleCrop>false</ScaleCrop>
  <LinksUpToDate>false</LinksUpToDate>
  <CharactersWithSpaces>15331</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2024-01-18T16:14:00Z</dcterms:created>
  <dc:creator>Administrator</dc:creator>
  <cp:lastModifiedBy>WPS_1757464463</cp:lastModifiedBy>
  <cp:lastPrinted>2026-03-20T06:50:00Z</cp:lastPrinted>
  <dcterms:modified xsi:type="dcterms:W3CDTF">2026-04-17T01:15:32Z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2025-03-13T16:10:59Z</vt:filetime>
  </property>
  <property fmtid="{D5CDD505-2E9C-101B-9397-08002B2CF9AE}" pid="4" name="KSOTemplateDocerSaveRecord">
    <vt:lpwstr>eyJoZGlkIjoiYjQ0OGVmNzc3ZDcyNzQ3NjE5MGQxYzFmZTBmZTVkMjYiLCJ1c2VySWQiOiIxNzQwODMxMzU1In0=</vt:lpwstr>
  </property>
  <property fmtid="{D5CDD505-2E9C-101B-9397-08002B2CF9AE}" pid="5" name="KSOProductBuildVer">
    <vt:lpwstr>2052-12.1.0.25225</vt:lpwstr>
  </property>
  <property fmtid="{D5CDD505-2E9C-101B-9397-08002B2CF9AE}" pid="6" name="ICV">
    <vt:lpwstr>F734937003AA4E598BE67800C2B3CD30_13</vt:lpwstr>
  </property>
</Properties>
</file>